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autoSpaceDE/>
        <w:autoSpaceDN/>
        <w:adjustRightInd/>
        <w:spacing w:before="120" w:after="0"/>
        <w:textAlignment w:val="auto"/>
        <w:rPr>
          <w:rFonts w:cs="Arial" w:eastAsiaTheme="minorEastAsia"/>
          <w:b/>
          <w:sz w:val="24"/>
          <w:szCs w:val="24"/>
          <w:lang w:val="en-US" w:eastAsia="zh-CN"/>
        </w:rPr>
      </w:pPr>
      <w:r>
        <w:rPr>
          <w:rFonts w:cs="Arial" w:eastAsiaTheme="minorEastAsia"/>
          <w:b/>
          <w:sz w:val="24"/>
          <w:szCs w:val="24"/>
          <w:lang w:val="en-US" w:eastAsia="zh-CN"/>
        </w:rPr>
        <w:t>3GPP T</w:t>
      </w:r>
      <w:bookmarkStart w:id="0" w:name="_Ref452454252"/>
      <w:bookmarkEnd w:id="0"/>
      <w:r>
        <w:rPr>
          <w:rFonts w:cs="Arial" w:eastAsiaTheme="minorEastAsia"/>
          <w:b/>
          <w:sz w:val="24"/>
          <w:szCs w:val="24"/>
          <w:lang w:val="en-US" w:eastAsia="zh-CN"/>
        </w:rPr>
        <w:t>SG-RAN WG2 Meeting #1</w:t>
      </w:r>
      <w:r>
        <w:rPr>
          <w:rFonts w:hint="eastAsia" w:cs="Arial" w:eastAsiaTheme="minorEastAsia"/>
          <w:b/>
          <w:sz w:val="24"/>
          <w:szCs w:val="24"/>
          <w:lang w:val="en-US" w:eastAsia="zh-CN"/>
        </w:rPr>
        <w:t>2</w:t>
      </w:r>
      <w:r>
        <w:rPr>
          <w:rFonts w:cs="Arial" w:eastAsiaTheme="minorEastAsia"/>
          <w:b/>
          <w:sz w:val="24"/>
          <w:szCs w:val="24"/>
          <w:lang w:val="en-US" w:eastAsia="zh-CN"/>
        </w:rPr>
        <w:t>4</w:t>
      </w:r>
      <w:r>
        <w:rPr>
          <w:rFonts w:cs="Arial" w:eastAsiaTheme="minorEastAsia"/>
          <w:b/>
          <w:sz w:val="24"/>
          <w:szCs w:val="24"/>
          <w:lang w:val="en-US" w:eastAsia="zh-CN"/>
        </w:rPr>
        <w:tab/>
      </w:r>
      <w:r>
        <w:rPr>
          <w:rFonts w:cs="Arial" w:eastAsiaTheme="minorEastAsia"/>
          <w:b/>
          <w:sz w:val="24"/>
          <w:szCs w:val="24"/>
          <w:lang w:val="en-US" w:eastAsia="zh-CN"/>
        </w:rPr>
        <w:t xml:space="preserve"> </w:t>
      </w:r>
      <w:r>
        <w:rPr>
          <w:rFonts w:hint="eastAsia" w:cs="Arial" w:eastAsiaTheme="minorEastAsia"/>
          <w:b/>
          <w:sz w:val="24"/>
          <w:szCs w:val="24"/>
          <w:lang w:val="en-US" w:eastAsia="zh-CN"/>
        </w:rPr>
        <w:t xml:space="preserve"> </w:t>
      </w:r>
      <w:r>
        <w:rPr>
          <w:rFonts w:cs="Arial" w:eastAsiaTheme="minorEastAsia"/>
          <w:b/>
          <w:sz w:val="24"/>
          <w:szCs w:val="24"/>
          <w:lang w:val="en-US" w:eastAsia="zh-CN"/>
        </w:rPr>
        <w:t xml:space="preserve"> </w:t>
      </w:r>
      <w:r>
        <w:rPr>
          <w:rFonts w:cs="Arial" w:eastAsiaTheme="minorEastAsia"/>
          <w:b/>
          <w:sz w:val="24"/>
          <w:szCs w:val="24"/>
          <w:lang w:val="en-US" w:eastAsia="zh-CN"/>
        </w:rPr>
        <w:tab/>
      </w:r>
      <w:r>
        <w:rPr>
          <w:rFonts w:cs="Arial" w:eastAsiaTheme="minorEastAsia"/>
          <w:b/>
          <w:sz w:val="24"/>
          <w:szCs w:val="24"/>
          <w:lang w:val="en-US" w:eastAsia="zh-CN"/>
        </w:rPr>
        <w:tab/>
      </w:r>
      <w:r>
        <w:rPr>
          <w:rFonts w:cs="Arial" w:eastAsiaTheme="minorEastAsia"/>
          <w:b/>
          <w:sz w:val="24"/>
          <w:szCs w:val="24"/>
          <w:lang w:val="en-US" w:eastAsia="zh-CN"/>
        </w:rPr>
        <w:tab/>
      </w:r>
      <w:r>
        <w:rPr>
          <w:rFonts w:cs="Arial" w:eastAsiaTheme="minorEastAsia"/>
          <w:b/>
          <w:sz w:val="24"/>
          <w:szCs w:val="24"/>
          <w:lang w:val="en-US" w:eastAsia="zh-CN"/>
        </w:rPr>
        <w:tab/>
      </w:r>
      <w:r>
        <w:rPr>
          <w:rFonts w:cs="Arial" w:eastAsiaTheme="minorEastAsia"/>
          <w:b/>
          <w:sz w:val="24"/>
          <w:szCs w:val="24"/>
          <w:lang w:val="en-US" w:eastAsia="zh-CN"/>
        </w:rPr>
        <w:tab/>
      </w:r>
      <w:r>
        <w:rPr>
          <w:rFonts w:cs="Arial" w:eastAsiaTheme="minorEastAsia"/>
          <w:b/>
          <w:sz w:val="24"/>
          <w:szCs w:val="24"/>
          <w:lang w:val="en-US" w:eastAsia="zh-CN"/>
        </w:rPr>
        <w:tab/>
      </w:r>
      <w:r>
        <w:rPr>
          <w:rFonts w:hint="eastAsia" w:cs="Arial" w:eastAsiaTheme="minorEastAsia"/>
          <w:b/>
          <w:sz w:val="24"/>
          <w:szCs w:val="24"/>
          <w:lang w:val="en-US" w:eastAsia="zh-CN"/>
        </w:rPr>
        <w:t>R2-2312676</w:t>
      </w:r>
      <w:bookmarkStart w:id="3" w:name="_GoBack"/>
      <w:bookmarkEnd w:id="3"/>
    </w:p>
    <w:p>
      <w:pPr>
        <w:overflowPunct/>
        <w:autoSpaceDE/>
        <w:autoSpaceDN/>
        <w:adjustRightInd/>
        <w:spacing w:before="120" w:after="0"/>
        <w:textAlignment w:val="auto"/>
        <w:rPr>
          <w:rFonts w:cs="Arial" w:eastAsiaTheme="minorEastAsia"/>
          <w:b/>
          <w:sz w:val="24"/>
          <w:szCs w:val="24"/>
          <w:lang w:val="en-US" w:eastAsia="zh-CN"/>
        </w:rPr>
      </w:pPr>
      <w:r>
        <w:rPr>
          <w:rFonts w:cs="Arial" w:eastAsiaTheme="minorEastAsia"/>
          <w:b/>
          <w:sz w:val="24"/>
          <w:szCs w:val="24"/>
          <w:lang w:val="en-US" w:eastAsia="zh-CN"/>
        </w:rPr>
        <w:t>Chicago, USA, Nov. 13th - 17th, 2023</w:t>
      </w:r>
    </w:p>
    <w:p>
      <w:pPr>
        <w:overflowPunct/>
        <w:autoSpaceDE/>
        <w:autoSpaceDN/>
        <w:adjustRightInd/>
        <w:spacing w:before="120" w:after="0"/>
        <w:textAlignment w:val="auto"/>
        <w:rPr>
          <w:rFonts w:cs="Arial" w:eastAsiaTheme="minorEastAsia"/>
          <w:b/>
          <w:sz w:val="24"/>
          <w:szCs w:val="24"/>
          <w:lang w:val="en-US" w:eastAsia="zh-CN"/>
        </w:rPr>
      </w:pPr>
    </w:p>
    <w:p>
      <w:pPr>
        <w:overflowPunct/>
        <w:autoSpaceDE/>
        <w:autoSpaceDN/>
        <w:adjustRightInd/>
        <w:spacing w:before="120" w:after="0"/>
        <w:textAlignment w:val="auto"/>
        <w:rPr>
          <w:rFonts w:cs="Arial" w:eastAsiaTheme="minorEastAsia"/>
          <w:b/>
          <w:sz w:val="24"/>
          <w:szCs w:val="24"/>
          <w:lang w:val="en-US" w:eastAsia="zh-CN"/>
        </w:rPr>
      </w:pPr>
      <w:r>
        <w:rPr>
          <w:rFonts w:cs="Arial" w:eastAsiaTheme="minorEastAsia"/>
          <w:b/>
          <w:sz w:val="24"/>
          <w:szCs w:val="24"/>
          <w:lang w:val="en-US" w:eastAsia="zh-CN"/>
        </w:rPr>
        <w:t>Agenda Item:</w:t>
      </w:r>
      <w:r>
        <w:rPr>
          <w:rFonts w:cs="Arial" w:eastAsiaTheme="minorEastAsia"/>
          <w:b/>
          <w:sz w:val="24"/>
          <w:szCs w:val="24"/>
          <w:lang w:val="en-US" w:eastAsia="zh-CN"/>
        </w:rPr>
        <w:tab/>
      </w:r>
      <w:r>
        <w:rPr>
          <w:rFonts w:hint="eastAsia" w:cs="Arial" w:eastAsiaTheme="minorEastAsia"/>
          <w:b/>
          <w:sz w:val="24"/>
          <w:szCs w:val="24"/>
          <w:lang w:val="en-US" w:eastAsia="zh-CN"/>
        </w:rPr>
        <w:t>7.</w:t>
      </w:r>
      <w:r>
        <w:rPr>
          <w:rFonts w:cs="Arial" w:eastAsiaTheme="minorEastAsia"/>
          <w:b/>
          <w:sz w:val="24"/>
          <w:szCs w:val="24"/>
          <w:lang w:val="en-US" w:eastAsia="zh-CN"/>
        </w:rPr>
        <w:t>13.</w:t>
      </w:r>
      <w:r>
        <w:rPr>
          <w:rFonts w:hint="eastAsia" w:cs="Arial" w:eastAsiaTheme="minorEastAsia"/>
          <w:b/>
          <w:sz w:val="24"/>
          <w:szCs w:val="24"/>
          <w:lang w:val="en-US" w:eastAsia="zh-CN"/>
        </w:rPr>
        <w:t>5</w:t>
      </w:r>
    </w:p>
    <w:p>
      <w:pPr>
        <w:overflowPunct/>
        <w:autoSpaceDE/>
        <w:autoSpaceDN/>
        <w:adjustRightInd/>
        <w:spacing w:before="120" w:after="0"/>
        <w:textAlignment w:val="auto"/>
        <w:rPr>
          <w:rFonts w:cs="Arial" w:eastAsiaTheme="minorEastAsia"/>
          <w:b/>
          <w:sz w:val="24"/>
          <w:szCs w:val="24"/>
          <w:lang w:val="en-US" w:eastAsia="zh-CN"/>
        </w:rPr>
      </w:pPr>
      <w:r>
        <w:rPr>
          <w:rFonts w:cs="Arial" w:eastAsiaTheme="minorEastAsia"/>
          <w:b/>
          <w:sz w:val="24"/>
          <w:szCs w:val="24"/>
          <w:lang w:val="en-US" w:eastAsia="zh-CN"/>
        </w:rPr>
        <w:t>Source:</w:t>
      </w:r>
      <w:r>
        <w:rPr>
          <w:rFonts w:cs="Arial" w:eastAsiaTheme="minorEastAsia"/>
          <w:b/>
          <w:sz w:val="24"/>
          <w:szCs w:val="24"/>
          <w:lang w:val="en-US" w:eastAsia="zh-CN"/>
        </w:rPr>
        <w:tab/>
      </w:r>
      <w:r>
        <w:rPr>
          <w:rFonts w:cs="Arial" w:eastAsiaTheme="minorEastAsia"/>
          <w:b/>
          <w:sz w:val="24"/>
          <w:szCs w:val="24"/>
          <w:lang w:val="en-US" w:eastAsia="zh-CN"/>
        </w:rPr>
        <w:t>CMCC</w:t>
      </w:r>
      <w:r>
        <w:rPr>
          <w:rFonts w:hint="eastAsia" w:cs="Arial" w:eastAsiaTheme="minorEastAsia"/>
          <w:b/>
          <w:sz w:val="24"/>
          <w:szCs w:val="24"/>
          <w:lang w:val="en-US" w:eastAsia="zh-CN"/>
        </w:rPr>
        <w:t xml:space="preserve"> </w:t>
      </w:r>
    </w:p>
    <w:p>
      <w:pPr>
        <w:overflowPunct/>
        <w:autoSpaceDE/>
        <w:autoSpaceDN/>
        <w:adjustRightInd/>
        <w:spacing w:before="120" w:after="0"/>
        <w:textAlignment w:val="auto"/>
        <w:rPr>
          <w:rFonts w:cs="Arial" w:eastAsiaTheme="minorEastAsia"/>
          <w:b/>
          <w:sz w:val="24"/>
          <w:szCs w:val="24"/>
          <w:lang w:val="en-US" w:eastAsia="zh-CN"/>
        </w:rPr>
      </w:pPr>
      <w:r>
        <w:rPr>
          <w:rFonts w:cs="Arial" w:eastAsiaTheme="minorEastAsia"/>
          <w:b/>
          <w:sz w:val="24"/>
          <w:szCs w:val="24"/>
          <w:lang w:val="en-US" w:eastAsia="zh-CN"/>
        </w:rPr>
        <w:t>Title:</w:t>
      </w:r>
      <w:r>
        <w:rPr>
          <w:rFonts w:cs="Arial" w:eastAsiaTheme="minorEastAsia"/>
          <w:b/>
          <w:sz w:val="24"/>
          <w:szCs w:val="24"/>
          <w:lang w:val="en-US" w:eastAsia="zh-CN"/>
        </w:rPr>
        <w:tab/>
      </w:r>
      <w:r>
        <w:rPr>
          <w:rFonts w:cs="Arial" w:eastAsiaTheme="minorEastAsia"/>
          <w:b/>
          <w:sz w:val="24"/>
          <w:szCs w:val="24"/>
          <w:lang w:val="en-US" w:eastAsia="zh-CN"/>
        </w:rPr>
        <w:t>SON</w:t>
      </w:r>
      <w:r>
        <w:rPr>
          <w:rFonts w:hint="eastAsia" w:cs="Arial" w:eastAsiaTheme="minorEastAsia"/>
          <w:b/>
          <w:sz w:val="24"/>
          <w:szCs w:val="24"/>
          <w:lang w:val="en-US" w:eastAsia="zh-CN"/>
        </w:rPr>
        <w:t xml:space="preserve"> enhancement for NR-U</w:t>
      </w:r>
    </w:p>
    <w:p>
      <w:pPr>
        <w:overflowPunct/>
        <w:autoSpaceDE/>
        <w:autoSpaceDN/>
        <w:adjustRightInd/>
        <w:spacing w:before="120" w:after="0"/>
        <w:textAlignment w:val="auto"/>
        <w:rPr>
          <w:rFonts w:cs="Arial" w:eastAsiaTheme="minorEastAsia"/>
          <w:b/>
          <w:sz w:val="24"/>
          <w:szCs w:val="24"/>
          <w:lang w:val="en-US" w:eastAsia="zh-CN"/>
        </w:rPr>
      </w:pPr>
      <w:r>
        <w:rPr>
          <w:rFonts w:cs="Arial" w:eastAsiaTheme="minorEastAsia"/>
          <w:b/>
          <w:sz w:val="24"/>
          <w:szCs w:val="24"/>
          <w:lang w:val="en-US" w:eastAsia="zh-CN"/>
        </w:rPr>
        <w:t>Document for:</w:t>
      </w:r>
      <w:r>
        <w:rPr>
          <w:rFonts w:cs="Arial" w:eastAsiaTheme="minorEastAsia"/>
          <w:b/>
          <w:sz w:val="24"/>
          <w:szCs w:val="24"/>
          <w:lang w:val="en-US" w:eastAsia="zh-CN"/>
        </w:rPr>
        <w:tab/>
      </w:r>
      <w:r>
        <w:rPr>
          <w:rFonts w:hint="eastAsia" w:cs="Arial" w:eastAsiaTheme="minorEastAsia"/>
          <w:b/>
          <w:sz w:val="24"/>
          <w:szCs w:val="24"/>
          <w:lang w:val="en-US" w:eastAsia="zh-CN"/>
        </w:rPr>
        <w:t>Discussion and Decision</w:t>
      </w:r>
    </w:p>
    <w:p>
      <w:pPr>
        <w:pStyle w:val="2"/>
        <w:tabs>
          <w:tab w:val="left" w:pos="720"/>
          <w:tab w:val="left" w:pos="1440"/>
          <w:tab w:val="left" w:pos="2160"/>
          <w:tab w:val="center" w:pos="4986"/>
        </w:tabs>
        <w:ind w:left="567" w:hanging="567"/>
        <w:rPr>
          <w:rFonts w:cs="Arial"/>
          <w:sz w:val="32"/>
          <w:szCs w:val="32"/>
        </w:rPr>
      </w:pPr>
      <w:r>
        <w:rPr>
          <w:rFonts w:cs="Arial"/>
          <w:sz w:val="32"/>
          <w:szCs w:val="32"/>
        </w:rPr>
        <w:t>1</w:t>
      </w:r>
      <w:r>
        <w:rPr>
          <w:rFonts w:hint="eastAsia" w:eastAsia="宋体" w:cs="Arial"/>
          <w:sz w:val="32"/>
          <w:szCs w:val="32"/>
          <w:lang w:eastAsia="zh-CN"/>
        </w:rPr>
        <w:tab/>
      </w:r>
      <w:r>
        <w:rPr>
          <w:rFonts w:cs="Arial"/>
          <w:sz w:val="32"/>
          <w:szCs w:val="32"/>
        </w:rPr>
        <w:t>Introduction</w:t>
      </w:r>
      <w:r>
        <w:rPr>
          <w:rFonts w:cs="Arial"/>
          <w:sz w:val="32"/>
          <w:szCs w:val="32"/>
        </w:rPr>
        <w:tab/>
      </w:r>
    </w:p>
    <w:p>
      <w:pPr>
        <w:spacing w:after="180"/>
        <w:rPr>
          <w:rFonts w:ascii="Times New Roman" w:hAnsi="Times New Roman" w:eastAsia="等线"/>
          <w:lang w:val="en-US" w:eastAsia="zh-CN" w:bidi="ar"/>
        </w:rPr>
      </w:pPr>
      <w:r>
        <w:rPr>
          <w:rFonts w:hint="eastAsia" w:ascii="Times New Roman" w:hAnsi="Times New Roman" w:eastAsia="等线"/>
          <w:lang w:val="en-US" w:eastAsia="zh-CN" w:bidi="ar"/>
        </w:rPr>
        <w:t xml:space="preserve">In RAN2#123, we discussed SON/MDT for NR-U and the following </w:t>
      </w:r>
      <w:r>
        <w:rPr>
          <w:rFonts w:ascii="Times New Roman" w:hAnsi="Times New Roman" w:eastAsia="等线"/>
          <w:lang w:val="en-US" w:eastAsia="zh-CN" w:bidi="ar"/>
        </w:rPr>
        <w:t>FFS</w:t>
      </w:r>
      <w:r>
        <w:rPr>
          <w:rFonts w:hint="eastAsia" w:ascii="Times New Roman" w:hAnsi="Times New Roman" w:eastAsia="等线"/>
          <w:lang w:val="en-US" w:eastAsia="zh-CN" w:bidi="ar"/>
        </w:rPr>
        <w:t xml:space="preserve"> are </w:t>
      </w:r>
      <w:r>
        <w:rPr>
          <w:rFonts w:ascii="Times New Roman" w:hAnsi="Times New Roman" w:eastAsia="等线"/>
          <w:lang w:val="en-US" w:eastAsia="zh-CN" w:bidi="ar"/>
        </w:rPr>
        <w:t>left</w:t>
      </w:r>
      <w:r>
        <w:rPr>
          <w:rFonts w:hint="eastAsia" w:ascii="Times New Roman" w:hAnsi="Times New Roman" w:eastAsia="等线"/>
          <w:lang w:val="en-US" w:eastAsia="zh-CN" w:bidi="ar"/>
        </w:rPr>
        <w:t>.</w:t>
      </w:r>
    </w:p>
    <w:p>
      <w:pPr>
        <w:widowControl w:val="0"/>
        <w:pBdr>
          <w:top w:val="single" w:color="auto" w:sz="4" w:space="0"/>
          <w:left w:val="single" w:color="auto" w:sz="4" w:space="0"/>
          <w:bottom w:val="single" w:color="auto" w:sz="4" w:space="0"/>
          <w:right w:val="single" w:color="auto" w:sz="4" w:space="0"/>
        </w:pBdr>
        <w:spacing w:before="120" w:beforeLines="50"/>
        <w:jc w:val="both"/>
        <w:rPr>
          <w:rFonts w:ascii="Times New Roman" w:hAnsi="Times New Roman" w:eastAsia="宋体"/>
          <w:lang w:eastAsia="zh-CN"/>
        </w:rPr>
      </w:pPr>
      <w:r>
        <w:rPr>
          <w:rFonts w:ascii="Times New Roman" w:hAnsi="Times New Roman" w:eastAsia="宋体"/>
          <w:lang w:eastAsia="zh-CN"/>
        </w:rPr>
        <w:t>FFS</w:t>
      </w:r>
      <w:r>
        <w:rPr>
          <w:rFonts w:hint="eastAsia" w:ascii="Times New Roman" w:hAnsi="Times New Roman" w:eastAsia="宋体"/>
          <w:lang w:eastAsia="zh-CN"/>
        </w:rPr>
        <w:t>:</w:t>
      </w:r>
    </w:p>
    <w:p>
      <w:pPr>
        <w:widowControl w:val="0"/>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eastAsia="zh-CN"/>
        </w:rPr>
      </w:pPr>
      <w:r>
        <w:rPr>
          <w:rFonts w:ascii="Times New Roman" w:hAnsi="Times New Roman" w:eastAsia="宋体"/>
          <w:lang w:eastAsia="zh-CN"/>
        </w:rPr>
        <w:t>FFS1:  BWP information should be included in the RLF-Report for all the BWPs in which the UE detected the consistent UL LBT failure, right before the RLF/HOF.</w:t>
      </w:r>
    </w:p>
    <w:p>
      <w:pPr>
        <w:widowControl w:val="0"/>
        <w:pBdr>
          <w:top w:val="single" w:color="auto" w:sz="4" w:space="0"/>
          <w:left w:val="single" w:color="auto" w:sz="4" w:space="0"/>
          <w:bottom w:val="single" w:color="auto" w:sz="4" w:space="0"/>
          <w:right w:val="single" w:color="auto" w:sz="4" w:space="0"/>
        </w:pBdr>
        <w:spacing w:before="120" w:beforeLines="50"/>
        <w:jc w:val="both"/>
        <w:rPr>
          <w:rFonts w:ascii="Times New Roman" w:hAnsi="Times New Roman" w:eastAsia="宋体"/>
          <w:lang w:eastAsia="zh-CN"/>
        </w:rPr>
      </w:pPr>
      <w:r>
        <w:rPr>
          <w:rFonts w:ascii="Times New Roman" w:hAnsi="Times New Roman" w:eastAsia="宋体"/>
          <w:lang w:eastAsia="zh-CN"/>
        </w:rPr>
        <w:t>FFS2:</w:t>
      </w:r>
      <w:r>
        <w:rPr>
          <w:rFonts w:ascii="Times New Roman" w:hAnsi="Times New Roman" w:eastAsia="宋体"/>
          <w:lang w:eastAsia="zh-CN"/>
        </w:rPr>
        <w:tab/>
      </w:r>
      <w:r>
        <w:rPr>
          <w:rFonts w:ascii="Times New Roman" w:hAnsi="Times New Roman" w:eastAsia="宋体"/>
          <w:lang w:eastAsia="zh-CN"/>
        </w:rPr>
        <w:t>RAN2 agrees to include the RSSI measurements of the frequency associated to the source PCell in the RLF report in case of HOF, if the measRSSI-ReportConfig is configured for such frequency.</w:t>
      </w:r>
    </w:p>
    <w:p>
      <w:pPr>
        <w:widowControl w:val="0"/>
        <w:pBdr>
          <w:top w:val="single" w:color="auto" w:sz="4" w:space="0"/>
          <w:left w:val="single" w:color="auto" w:sz="4" w:space="0"/>
          <w:bottom w:val="single" w:color="auto" w:sz="4" w:space="0"/>
          <w:right w:val="single" w:color="auto" w:sz="4" w:space="0"/>
        </w:pBdr>
        <w:spacing w:before="120" w:beforeLines="50"/>
        <w:jc w:val="both"/>
        <w:rPr>
          <w:rFonts w:ascii="Times New Roman" w:hAnsi="Times New Roman" w:eastAsia="宋体"/>
          <w:lang w:eastAsia="zh-CN"/>
        </w:rPr>
      </w:pPr>
      <w:r>
        <w:rPr>
          <w:rFonts w:ascii="Times New Roman" w:hAnsi="Times New Roman" w:eastAsia="宋体"/>
          <w:lang w:eastAsia="zh-CN"/>
        </w:rPr>
        <w:t>FFS3:</w:t>
      </w:r>
      <w:r>
        <w:rPr>
          <w:rFonts w:ascii="Times New Roman" w:hAnsi="Times New Roman" w:eastAsia="宋体"/>
          <w:lang w:eastAsia="zh-CN"/>
        </w:rPr>
        <w:tab/>
      </w:r>
      <w:r>
        <w:rPr>
          <w:rFonts w:ascii="Times New Roman" w:hAnsi="Times New Roman" w:eastAsia="宋体"/>
          <w:lang w:eastAsia="zh-CN"/>
        </w:rPr>
        <w:t>RAN2 agrees to include in the RLF-Report the available RSSI measurement results of the frequencies associated to the neighbouring cells, if the measRSSI-ReportConfig is configured for such frequencies.</w:t>
      </w:r>
    </w:p>
    <w:p>
      <w:pPr>
        <w:widowControl w:val="0"/>
        <w:pBdr>
          <w:top w:val="single" w:color="auto" w:sz="4" w:space="0"/>
          <w:left w:val="single" w:color="auto" w:sz="4" w:space="0"/>
          <w:bottom w:val="single" w:color="auto" w:sz="4" w:space="0"/>
          <w:right w:val="single" w:color="auto" w:sz="4" w:space="0"/>
        </w:pBdr>
        <w:spacing w:before="120" w:beforeLines="50"/>
        <w:jc w:val="both"/>
        <w:rPr>
          <w:rFonts w:ascii="Times New Roman" w:hAnsi="Times New Roman" w:eastAsia="宋体"/>
          <w:lang w:eastAsia="zh-CN"/>
        </w:rPr>
      </w:pPr>
      <w:r>
        <w:rPr>
          <w:rFonts w:ascii="Times New Roman" w:hAnsi="Times New Roman" w:eastAsia="宋体"/>
          <w:lang w:eastAsia="zh-CN"/>
        </w:rPr>
        <w:t>FFS4:</w:t>
      </w:r>
      <w:r>
        <w:rPr>
          <w:rFonts w:ascii="Times New Roman" w:hAnsi="Times New Roman" w:eastAsia="宋体"/>
          <w:lang w:eastAsia="zh-CN"/>
        </w:rPr>
        <w:tab/>
      </w:r>
      <w:r>
        <w:rPr>
          <w:rFonts w:ascii="Times New Roman" w:hAnsi="Times New Roman" w:eastAsia="宋体"/>
          <w:lang w:eastAsia="zh-CN"/>
        </w:rPr>
        <w:t>If Proposal 8 is not agreed, RAN2 to discuss if the UE logs in the RLF-Report the latest measured RSSI of the frequency associated to the target cell in case of HOF, if measRSSI-ReportConfig is configured for such frequency.</w:t>
      </w:r>
    </w:p>
    <w:p>
      <w:pPr>
        <w:widowControl w:val="0"/>
        <w:pBdr>
          <w:top w:val="single" w:color="auto" w:sz="4" w:space="0"/>
          <w:left w:val="single" w:color="auto" w:sz="4" w:space="0"/>
          <w:bottom w:val="single" w:color="auto" w:sz="4" w:space="0"/>
          <w:right w:val="single" w:color="auto" w:sz="4" w:space="0"/>
        </w:pBdr>
        <w:spacing w:before="120" w:beforeLines="50"/>
        <w:jc w:val="both"/>
        <w:rPr>
          <w:rFonts w:ascii="Times New Roman" w:hAnsi="Times New Roman" w:eastAsia="宋体"/>
          <w:lang w:eastAsia="zh-CN"/>
        </w:rPr>
      </w:pPr>
      <w:r>
        <w:rPr>
          <w:rFonts w:ascii="Times New Roman" w:hAnsi="Times New Roman" w:eastAsia="宋体"/>
          <w:lang w:eastAsia="zh-CN"/>
        </w:rPr>
        <w:t>FFS5:</w:t>
      </w:r>
      <w:r>
        <w:rPr>
          <w:rFonts w:ascii="Times New Roman" w:hAnsi="Times New Roman" w:eastAsia="宋体"/>
          <w:lang w:eastAsia="zh-CN"/>
        </w:rPr>
        <w:tab/>
      </w:r>
      <w:r>
        <w:rPr>
          <w:rFonts w:ascii="Times New Roman" w:hAnsi="Times New Roman" w:eastAsia="宋体"/>
          <w:lang w:eastAsia="zh-CN"/>
        </w:rPr>
        <w:t>UE logs lbt-FailureRecoveryConfig in the RLF-Report only upon re-establishment procedure failure.</w:t>
      </w:r>
    </w:p>
    <w:p>
      <w:pPr>
        <w:widowControl w:val="0"/>
        <w:pBdr>
          <w:top w:val="single" w:color="auto" w:sz="4" w:space="0"/>
          <w:left w:val="single" w:color="auto" w:sz="4" w:space="0"/>
          <w:bottom w:val="single" w:color="auto" w:sz="4" w:space="0"/>
          <w:right w:val="single" w:color="auto" w:sz="4" w:space="0"/>
        </w:pBdr>
        <w:spacing w:before="120" w:beforeLines="50"/>
        <w:jc w:val="both"/>
        <w:rPr>
          <w:rFonts w:ascii="Times New Roman" w:hAnsi="Times New Roman" w:eastAsia="宋体"/>
          <w:lang w:eastAsia="zh-CN"/>
        </w:rPr>
      </w:pPr>
      <w:r>
        <w:rPr>
          <w:rFonts w:ascii="Times New Roman" w:hAnsi="Times New Roman" w:eastAsia="宋体"/>
          <w:lang w:eastAsia="zh-CN"/>
        </w:rPr>
        <w:t>FFS6:</w:t>
      </w:r>
      <w:r>
        <w:rPr>
          <w:rFonts w:ascii="Times New Roman" w:hAnsi="Times New Roman" w:eastAsia="宋体"/>
          <w:lang w:eastAsia="zh-CN"/>
        </w:rPr>
        <w:tab/>
      </w:r>
      <w:r>
        <w:rPr>
          <w:rFonts w:ascii="Times New Roman" w:hAnsi="Times New Roman" w:eastAsia="宋体"/>
          <w:lang w:eastAsia="zh-CN"/>
        </w:rPr>
        <w:t>For the sake of progress and alignment with RAN3, RAN2 confines the discussion on the configuration index to the SHR and SPR discussion.</w:t>
      </w:r>
    </w:p>
    <w:p>
      <w:pPr>
        <w:widowControl w:val="0"/>
        <w:pBdr>
          <w:top w:val="single" w:color="auto" w:sz="4" w:space="0"/>
          <w:left w:val="single" w:color="auto" w:sz="4" w:space="0"/>
          <w:bottom w:val="single" w:color="auto" w:sz="4" w:space="0"/>
          <w:right w:val="single" w:color="auto" w:sz="4" w:space="0"/>
        </w:pBdr>
        <w:spacing w:before="120" w:beforeLines="50"/>
        <w:jc w:val="both"/>
        <w:rPr>
          <w:rFonts w:ascii="Times New Roman" w:hAnsi="Times New Roman" w:eastAsia="宋体"/>
          <w:lang w:eastAsia="zh-CN"/>
        </w:rPr>
      </w:pPr>
      <w:r>
        <w:rPr>
          <w:rFonts w:ascii="Times New Roman" w:hAnsi="Times New Roman" w:eastAsia="宋体"/>
          <w:lang w:eastAsia="zh-CN"/>
        </w:rPr>
        <w:t>FFS7:</w:t>
      </w:r>
      <w:r>
        <w:rPr>
          <w:rFonts w:ascii="Times New Roman" w:hAnsi="Times New Roman" w:eastAsia="宋体"/>
          <w:lang w:eastAsia="zh-CN"/>
        </w:rPr>
        <w:tab/>
      </w:r>
      <w:r>
        <w:rPr>
          <w:rFonts w:ascii="Times New Roman" w:hAnsi="Times New Roman" w:eastAsia="宋体"/>
          <w:lang w:eastAsia="zh-CN"/>
        </w:rPr>
        <w:t>Agree logging the LBT information of the source cell at the moment of performing HO. FFS the details (e.g., number of LBT failure or consistent LTB failure, etc.)</w:t>
      </w:r>
    </w:p>
    <w:p>
      <w:pPr>
        <w:widowControl w:val="0"/>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eastAsia="zh-CN"/>
        </w:rPr>
      </w:pPr>
      <w:r>
        <w:rPr>
          <w:rFonts w:ascii="Times New Roman" w:hAnsi="Times New Roman" w:eastAsia="宋体"/>
          <w:lang w:eastAsia="zh-CN"/>
        </w:rPr>
        <w:t>FFS8:</w:t>
      </w:r>
      <w:r>
        <w:rPr>
          <w:rFonts w:ascii="Times New Roman" w:hAnsi="Times New Roman" w:eastAsia="宋体"/>
          <w:lang w:eastAsia="zh-CN"/>
        </w:rPr>
        <w:tab/>
      </w:r>
      <w:r>
        <w:rPr>
          <w:rFonts w:ascii="Times New Roman" w:hAnsi="Times New Roman" w:eastAsia="宋体"/>
          <w:lang w:eastAsia="zh-CN"/>
        </w:rPr>
        <w:t xml:space="preserve"> how to solve the issue of no preamble transmission attempts transmitted in a selected beam due to LBT blockage.</w:t>
      </w:r>
    </w:p>
    <w:p>
      <w:pPr>
        <w:widowControl w:val="0"/>
        <w:spacing w:before="120" w:beforeLines="50"/>
        <w:jc w:val="both"/>
        <w:rPr>
          <w:rFonts w:ascii="Times New Roman" w:hAnsi="Times New Roman" w:eastAsia="宋体"/>
          <w:lang w:eastAsia="zh-CN"/>
        </w:rPr>
      </w:pPr>
      <w:r>
        <w:rPr>
          <w:rFonts w:hint="eastAsia" w:ascii="Times New Roman" w:hAnsi="Times New Roman" w:eastAsia="宋体"/>
          <w:lang w:eastAsia="zh-CN"/>
        </w:rPr>
        <w:t>I</w:t>
      </w:r>
      <w:r>
        <w:rPr>
          <w:rFonts w:ascii="Times New Roman" w:hAnsi="Times New Roman" w:eastAsia="宋体"/>
          <w:lang w:eastAsia="zh-CN"/>
        </w:rPr>
        <w:t>n RAN2#123bis, the following agreements are made.</w:t>
      </w:r>
    </w:p>
    <w:p>
      <w:pPr>
        <w:widowControl w:val="0"/>
        <w:pBdr>
          <w:top w:val="single" w:color="auto" w:sz="4" w:space="1"/>
          <w:left w:val="single" w:color="auto" w:sz="4" w:space="4"/>
          <w:bottom w:val="single" w:color="auto" w:sz="4" w:space="1"/>
          <w:right w:val="single" w:color="auto" w:sz="4" w:space="4"/>
        </w:pBdr>
        <w:spacing w:before="120" w:beforeLines="50"/>
        <w:jc w:val="both"/>
        <w:rPr>
          <w:rFonts w:ascii="Times New Roman" w:hAnsi="Times New Roman" w:eastAsia="宋体"/>
          <w:lang w:eastAsia="zh-CN"/>
        </w:rPr>
      </w:pPr>
      <w:r>
        <w:rPr>
          <w:rFonts w:ascii="Times New Roman" w:hAnsi="Times New Roman" w:eastAsia="宋体"/>
          <w:lang w:eastAsia="zh-CN"/>
        </w:rPr>
        <w:t>Agreements:</w:t>
      </w:r>
    </w:p>
    <w:p>
      <w:pPr>
        <w:widowControl w:val="0"/>
        <w:pBdr>
          <w:top w:val="single" w:color="auto" w:sz="4" w:space="1"/>
          <w:left w:val="single" w:color="auto" w:sz="4" w:space="4"/>
          <w:bottom w:val="single" w:color="auto" w:sz="4" w:space="1"/>
          <w:right w:val="single" w:color="auto" w:sz="4" w:space="4"/>
        </w:pBdr>
        <w:spacing w:before="120" w:beforeLines="50"/>
        <w:jc w:val="both"/>
        <w:rPr>
          <w:rFonts w:ascii="Times New Roman" w:hAnsi="Times New Roman" w:eastAsia="宋体"/>
          <w:lang w:eastAsia="zh-CN"/>
        </w:rPr>
      </w:pPr>
      <w:r>
        <w:rPr>
          <w:rFonts w:ascii="Times New Roman" w:hAnsi="Times New Roman" w:eastAsia="宋体"/>
          <w:lang w:eastAsia="zh-CN"/>
        </w:rPr>
        <w:t>1</w:t>
      </w:r>
      <w:r>
        <w:rPr>
          <w:rFonts w:ascii="Times New Roman" w:hAnsi="Times New Roman" w:eastAsia="宋体"/>
          <w:lang w:eastAsia="zh-CN"/>
        </w:rPr>
        <w:tab/>
      </w:r>
      <w:r>
        <w:rPr>
          <w:rFonts w:ascii="Times New Roman" w:hAnsi="Times New Roman" w:eastAsia="宋体"/>
          <w:lang w:eastAsia="zh-CN"/>
        </w:rPr>
        <w:t>Introduce a field to indicate that all preambles transmitted in a selected beam were blocked by LBT. FFS how to set the numberOfPreamblesSentOnSSB-r16/numberOfPreamblesSentOnCSI-RS-r16 and the perRAAttemptInfoList.</w:t>
      </w:r>
    </w:p>
    <w:p>
      <w:pPr>
        <w:widowControl w:val="0"/>
        <w:pBdr>
          <w:top w:val="single" w:color="auto" w:sz="4" w:space="1"/>
          <w:left w:val="single" w:color="auto" w:sz="4" w:space="4"/>
          <w:bottom w:val="single" w:color="auto" w:sz="4" w:space="1"/>
          <w:right w:val="single" w:color="auto" w:sz="4" w:space="4"/>
        </w:pBdr>
        <w:spacing w:before="120" w:beforeLines="50"/>
        <w:jc w:val="both"/>
        <w:rPr>
          <w:rFonts w:ascii="Times New Roman" w:hAnsi="Times New Roman" w:eastAsia="宋体"/>
          <w:lang w:eastAsia="zh-CN"/>
        </w:rPr>
      </w:pPr>
      <w:r>
        <w:rPr>
          <w:rFonts w:ascii="Times New Roman" w:hAnsi="Times New Roman" w:eastAsia="宋体"/>
          <w:lang w:eastAsia="zh-CN"/>
        </w:rPr>
        <w:t>2</w:t>
      </w:r>
      <w:r>
        <w:rPr>
          <w:rFonts w:ascii="Times New Roman" w:hAnsi="Times New Roman" w:eastAsia="宋体"/>
          <w:lang w:eastAsia="zh-CN"/>
        </w:rPr>
        <w:tab/>
      </w:r>
      <w:r>
        <w:rPr>
          <w:rFonts w:ascii="Times New Roman" w:hAnsi="Times New Roman" w:eastAsia="宋体"/>
          <w:lang w:eastAsia="zh-CN"/>
        </w:rPr>
        <w:t>If all preambles transmitted in a selected beam were blocked by LBT, the already agreed “lbtDetected” flag is not included in the perRAInfo.</w:t>
      </w:r>
    </w:p>
    <w:p>
      <w:pPr>
        <w:widowControl w:val="0"/>
        <w:pBdr>
          <w:top w:val="single" w:color="auto" w:sz="4" w:space="1"/>
          <w:left w:val="single" w:color="auto" w:sz="4" w:space="4"/>
          <w:bottom w:val="single" w:color="auto" w:sz="4" w:space="1"/>
          <w:right w:val="single" w:color="auto" w:sz="4" w:space="4"/>
        </w:pBdr>
        <w:spacing w:before="120" w:beforeLines="50"/>
        <w:jc w:val="both"/>
        <w:rPr>
          <w:rFonts w:ascii="Times New Roman" w:hAnsi="Times New Roman" w:eastAsia="宋体"/>
          <w:lang w:eastAsia="zh-CN"/>
        </w:rPr>
      </w:pPr>
      <w:r>
        <w:rPr>
          <w:rFonts w:ascii="Times New Roman" w:hAnsi="Times New Roman" w:eastAsia="宋体"/>
          <w:lang w:eastAsia="zh-CN"/>
        </w:rPr>
        <w:t>3</w:t>
      </w:r>
      <w:r>
        <w:rPr>
          <w:rFonts w:ascii="Times New Roman" w:hAnsi="Times New Roman" w:eastAsia="宋体"/>
          <w:lang w:eastAsia="zh-CN"/>
        </w:rPr>
        <w:tab/>
      </w:r>
      <w:r>
        <w:rPr>
          <w:rFonts w:ascii="Times New Roman" w:hAnsi="Times New Roman" w:eastAsia="宋体"/>
          <w:lang w:eastAsia="zh-CN"/>
        </w:rPr>
        <w:t>All the BWPs (same as for the RA-Report) in which the UE experienced the consistent UL LBT failure, prior the RLF/HOF, are included in the RLF-Report.</w:t>
      </w:r>
    </w:p>
    <w:p>
      <w:pPr>
        <w:widowControl w:val="0"/>
        <w:pBdr>
          <w:top w:val="single" w:color="auto" w:sz="4" w:space="1"/>
          <w:left w:val="single" w:color="auto" w:sz="4" w:space="4"/>
          <w:bottom w:val="single" w:color="auto" w:sz="4" w:space="1"/>
          <w:right w:val="single" w:color="auto" w:sz="4" w:space="4"/>
        </w:pBdr>
        <w:spacing w:before="120" w:beforeLines="50"/>
        <w:jc w:val="both"/>
        <w:rPr>
          <w:rFonts w:ascii="Times New Roman" w:hAnsi="Times New Roman" w:eastAsia="宋体"/>
          <w:lang w:eastAsia="zh-CN"/>
        </w:rPr>
      </w:pPr>
      <w:r>
        <w:rPr>
          <w:rFonts w:ascii="Times New Roman" w:hAnsi="Times New Roman" w:eastAsia="宋体"/>
          <w:lang w:eastAsia="zh-CN"/>
        </w:rPr>
        <w:t>4</w:t>
      </w:r>
      <w:r>
        <w:rPr>
          <w:rFonts w:ascii="Times New Roman" w:hAnsi="Times New Roman" w:eastAsia="宋体"/>
          <w:lang w:eastAsia="zh-CN"/>
        </w:rPr>
        <w:tab/>
      </w:r>
      <w:r>
        <w:rPr>
          <w:rFonts w:ascii="Times New Roman" w:hAnsi="Times New Roman" w:eastAsia="宋体"/>
          <w:lang w:eastAsia="zh-CN"/>
        </w:rPr>
        <w:t>For the HOF, the RSSI measurement results of the serving and neighbouring frequencies should be included in the RLF-Report, if the measRSSI-ReportConfig is configured for those frequencies and if available.</w:t>
      </w:r>
    </w:p>
    <w:p>
      <w:pPr>
        <w:widowControl w:val="0"/>
        <w:pBdr>
          <w:top w:val="single" w:color="auto" w:sz="4" w:space="1"/>
          <w:left w:val="single" w:color="auto" w:sz="4" w:space="4"/>
          <w:bottom w:val="single" w:color="auto" w:sz="4" w:space="1"/>
          <w:right w:val="single" w:color="auto" w:sz="4" w:space="4"/>
        </w:pBdr>
        <w:spacing w:before="120" w:beforeLines="50"/>
        <w:jc w:val="both"/>
        <w:rPr>
          <w:rFonts w:ascii="Times New Roman" w:hAnsi="Times New Roman" w:eastAsia="宋体"/>
          <w:lang w:eastAsia="zh-CN"/>
        </w:rPr>
      </w:pPr>
      <w:r>
        <w:rPr>
          <w:rFonts w:ascii="Times New Roman" w:hAnsi="Times New Roman" w:eastAsia="宋体"/>
          <w:lang w:eastAsia="zh-CN"/>
        </w:rPr>
        <w:t>5</w:t>
      </w:r>
      <w:r>
        <w:rPr>
          <w:rFonts w:ascii="Times New Roman" w:hAnsi="Times New Roman" w:eastAsia="宋体"/>
          <w:lang w:eastAsia="zh-CN"/>
        </w:rPr>
        <w:tab/>
      </w:r>
      <w:r>
        <w:rPr>
          <w:rFonts w:ascii="Times New Roman" w:hAnsi="Times New Roman" w:eastAsia="宋体"/>
          <w:lang w:eastAsia="zh-CN"/>
        </w:rPr>
        <w:t>For the RLF, the RSSI measurement results of the neighbouring frequencies should be included in the RLF-Report, if the measRSSI-ReportConfig is configured for those frequencies and if available.</w:t>
      </w:r>
    </w:p>
    <w:p>
      <w:pPr>
        <w:widowControl w:val="0"/>
        <w:pBdr>
          <w:top w:val="single" w:color="auto" w:sz="4" w:space="1"/>
          <w:left w:val="single" w:color="auto" w:sz="4" w:space="4"/>
          <w:bottom w:val="single" w:color="auto" w:sz="4" w:space="1"/>
          <w:right w:val="single" w:color="auto" w:sz="4" w:space="4"/>
        </w:pBdr>
        <w:spacing w:before="120" w:beforeLines="50"/>
        <w:jc w:val="both"/>
        <w:rPr>
          <w:rFonts w:ascii="Times New Roman" w:hAnsi="Times New Roman" w:eastAsia="宋体"/>
          <w:lang w:eastAsia="zh-CN"/>
        </w:rPr>
      </w:pPr>
      <w:r>
        <w:rPr>
          <w:rFonts w:ascii="Times New Roman" w:hAnsi="Times New Roman" w:eastAsia="宋体"/>
          <w:lang w:eastAsia="zh-CN"/>
        </w:rPr>
        <w:t>6</w:t>
      </w:r>
      <w:r>
        <w:rPr>
          <w:rFonts w:ascii="Times New Roman" w:hAnsi="Times New Roman" w:eastAsia="宋体"/>
          <w:lang w:eastAsia="zh-CN"/>
        </w:rPr>
        <w:tab/>
      </w:r>
      <w:r>
        <w:rPr>
          <w:rFonts w:ascii="Times New Roman" w:hAnsi="Times New Roman" w:eastAsia="宋体"/>
          <w:lang w:eastAsia="zh-CN"/>
        </w:rPr>
        <w:t>The RSSI measurements of the serving/neighboring frequencies should be included in the SHR, if the measRSSI-ReportConfig is configured for those frequencies and if available.</w:t>
      </w:r>
    </w:p>
    <w:p>
      <w:pPr>
        <w:widowControl w:val="0"/>
        <w:spacing w:before="120" w:beforeLines="50"/>
        <w:jc w:val="both"/>
        <w:rPr>
          <w:rFonts w:hint="eastAsia" w:ascii="Times New Roman" w:hAnsi="Times New Roman" w:eastAsia="宋体"/>
          <w:lang w:eastAsia="zh-CN"/>
        </w:rPr>
      </w:pPr>
    </w:p>
    <w:p>
      <w:pPr>
        <w:widowControl w:val="0"/>
        <w:spacing w:before="120" w:beforeLines="50"/>
        <w:jc w:val="both"/>
        <w:rPr>
          <w:rFonts w:ascii="Times New Roman" w:hAnsi="Times New Roman" w:eastAsia="宋体"/>
          <w:lang w:eastAsia="zh-CN"/>
        </w:rPr>
      </w:pPr>
      <w:r>
        <w:rPr>
          <w:rFonts w:hint="eastAsia" w:ascii="Times New Roman" w:hAnsi="Times New Roman" w:eastAsia="宋体"/>
          <w:lang w:eastAsia="zh-CN"/>
        </w:rPr>
        <w:t xml:space="preserve">In this contribution we provide our </w:t>
      </w:r>
      <w:r>
        <w:rPr>
          <w:rFonts w:ascii="Times New Roman" w:hAnsi="Times New Roman" w:eastAsia="宋体"/>
          <w:lang w:eastAsia="zh-CN"/>
        </w:rPr>
        <w:t xml:space="preserve">opinions about the left </w:t>
      </w:r>
      <w:r>
        <w:rPr>
          <w:rFonts w:hint="eastAsia" w:ascii="Times New Roman" w:hAnsi="Times New Roman" w:eastAsia="宋体"/>
          <w:lang w:val="en-US" w:eastAsia="zh-CN"/>
        </w:rPr>
        <w:t>FFS issue</w:t>
      </w:r>
      <w:r>
        <w:rPr>
          <w:rFonts w:ascii="Times New Roman" w:hAnsi="Times New Roman" w:eastAsia="宋体"/>
          <w:lang w:val="en-US" w:eastAsia="zh-CN"/>
        </w:rPr>
        <w:t>s</w:t>
      </w:r>
      <w:r>
        <w:rPr>
          <w:rFonts w:hint="eastAsia" w:ascii="Times New Roman" w:hAnsi="Times New Roman" w:eastAsia="宋体"/>
          <w:lang w:val="en-US" w:eastAsia="zh-CN"/>
        </w:rPr>
        <w:t xml:space="preserve"> </w:t>
      </w:r>
      <w:r>
        <w:rPr>
          <w:rFonts w:hint="eastAsia" w:ascii="Times New Roman" w:hAnsi="Times New Roman" w:eastAsia="宋体"/>
          <w:lang w:eastAsia="zh-CN"/>
        </w:rPr>
        <w:t xml:space="preserve">for NR-U. </w:t>
      </w:r>
    </w:p>
    <w:p>
      <w:pPr>
        <w:pStyle w:val="2"/>
        <w:ind w:left="567" w:hanging="567"/>
        <w:rPr>
          <w:lang w:val="en-US" w:eastAsia="zh-CN"/>
        </w:rPr>
      </w:pPr>
      <w:r>
        <w:rPr>
          <w:rFonts w:hint="eastAsia" w:eastAsia="宋体" w:cs="Arial"/>
          <w:sz w:val="32"/>
          <w:szCs w:val="32"/>
          <w:lang w:eastAsia="zh-CN"/>
        </w:rPr>
        <w:t>2</w:t>
      </w:r>
      <w:r>
        <w:rPr>
          <w:rFonts w:hint="eastAsia" w:eastAsia="宋体" w:cs="Arial"/>
          <w:sz w:val="32"/>
          <w:szCs w:val="32"/>
          <w:lang w:eastAsia="zh-CN"/>
        </w:rPr>
        <w:tab/>
      </w:r>
      <w:r>
        <w:rPr>
          <w:rFonts w:hint="eastAsia" w:eastAsia="宋体" w:cs="Arial"/>
          <w:sz w:val="32"/>
          <w:szCs w:val="32"/>
          <w:lang w:eastAsia="zh-CN"/>
        </w:rPr>
        <w:t>Discussion</w:t>
      </w:r>
      <w:r>
        <w:rPr>
          <w:rFonts w:eastAsia="宋体" w:cs="Arial"/>
          <w:sz w:val="32"/>
          <w:szCs w:val="32"/>
          <w:lang w:eastAsia="zh-CN"/>
        </w:rPr>
        <w:t xml:space="preserve"> </w:t>
      </w:r>
    </w:p>
    <w:p>
      <w:pPr>
        <w:pStyle w:val="3"/>
        <w:ind w:left="0" w:firstLine="0"/>
        <w:rPr>
          <w:rFonts w:eastAsiaTheme="minorEastAsia"/>
          <w:lang w:val="en-US" w:eastAsia="zh-CN" w:bidi="ar"/>
        </w:rPr>
      </w:pPr>
      <w:bookmarkStart w:id="1" w:name="OLE_LINK1"/>
      <w:bookmarkStart w:id="2" w:name="OLE_LINK2"/>
      <w:r>
        <w:rPr>
          <w:rFonts w:hint="eastAsia" w:eastAsiaTheme="minorEastAsia"/>
          <w:lang w:val="en-US" w:eastAsia="zh-CN" w:bidi="ar"/>
        </w:rPr>
        <w:t>2.1 RLF report:</w:t>
      </w:r>
    </w:p>
    <w:p>
      <w:pPr>
        <w:shd w:val="clear" w:color="auto" w:fill="FFFFFF"/>
        <w:overflowPunct/>
        <w:autoSpaceDE/>
        <w:autoSpaceDN/>
        <w:adjustRightInd/>
        <w:spacing w:before="133" w:after="0"/>
        <w:jc w:val="both"/>
        <w:textAlignment w:val="auto"/>
        <w:rPr>
          <w:rFonts w:ascii="Times New Roman" w:hAnsi="Times New Roman" w:eastAsia="宋体"/>
          <w:lang w:val="en-US" w:eastAsia="zh-CN" w:bidi="ar"/>
        </w:rPr>
      </w:pPr>
      <w:r>
        <w:rPr>
          <w:rFonts w:hint="eastAsia" w:ascii="Times New Roman" w:hAnsi="Times New Roman" w:eastAsia="宋体"/>
          <w:lang w:val="en-US" w:eastAsia="zh-CN" w:bidi="ar"/>
        </w:rPr>
        <w:t>In RAN2#123</w:t>
      </w:r>
      <w:r>
        <w:rPr>
          <w:rFonts w:ascii="Times New Roman" w:hAnsi="Times New Roman" w:eastAsia="宋体"/>
          <w:lang w:val="en-US" w:eastAsia="zh-CN" w:bidi="ar"/>
        </w:rPr>
        <w:t>bis</w:t>
      </w:r>
      <w:r>
        <w:rPr>
          <w:rFonts w:hint="eastAsia" w:ascii="Times New Roman" w:hAnsi="Times New Roman" w:eastAsia="宋体"/>
          <w:lang w:val="en-US" w:eastAsia="zh-CN" w:bidi="ar"/>
        </w:rPr>
        <w:t>, the remaining issues for RLF report are including as following:</w:t>
      </w:r>
    </w:p>
    <w:p>
      <w:pPr>
        <w:widowControl w:val="0"/>
        <w:pBdr>
          <w:top w:val="single" w:color="auto" w:sz="4" w:space="0"/>
          <w:left w:val="single" w:color="auto" w:sz="4" w:space="0"/>
          <w:bottom w:val="single" w:color="auto" w:sz="4" w:space="0"/>
          <w:right w:val="single" w:color="auto" w:sz="4" w:space="0"/>
        </w:pBdr>
        <w:spacing w:before="120" w:beforeLines="50"/>
        <w:jc w:val="both"/>
        <w:rPr>
          <w:rFonts w:ascii="Times New Roman" w:hAnsi="Times New Roman" w:eastAsia="宋体"/>
          <w:lang w:eastAsia="zh-CN"/>
        </w:rPr>
      </w:pPr>
      <w:r>
        <w:rPr>
          <w:rFonts w:hint="eastAsia" w:ascii="Times New Roman" w:hAnsi="Times New Roman" w:eastAsia="宋体"/>
          <w:lang w:eastAsia="zh-CN"/>
        </w:rPr>
        <w:t>FFS5:</w:t>
      </w:r>
      <w:r>
        <w:rPr>
          <w:rFonts w:hint="eastAsia" w:ascii="Times New Roman" w:hAnsi="Times New Roman" w:eastAsia="宋体"/>
          <w:lang w:eastAsia="zh-CN"/>
        </w:rPr>
        <w:tab/>
      </w:r>
      <w:r>
        <w:rPr>
          <w:rFonts w:hint="eastAsia" w:ascii="Times New Roman" w:hAnsi="Times New Roman" w:eastAsia="宋体"/>
          <w:lang w:eastAsia="zh-CN"/>
        </w:rPr>
        <w:t>UE logs lbt-FailureRecoveryConfig in the RLF-Report only upon re-establishment procedure failure.</w:t>
      </w:r>
    </w:p>
    <w:p>
      <w:pPr>
        <w:widowControl w:val="0"/>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eastAsia="zh-CN"/>
        </w:rPr>
      </w:pPr>
      <w:r>
        <w:rPr>
          <w:rFonts w:hint="eastAsia" w:ascii="Times New Roman" w:hAnsi="Times New Roman" w:eastAsia="宋体"/>
          <w:lang w:eastAsia="zh-CN"/>
        </w:rPr>
        <w:t>FFS6:</w:t>
      </w:r>
      <w:r>
        <w:rPr>
          <w:rFonts w:hint="eastAsia" w:ascii="Times New Roman" w:hAnsi="Times New Roman" w:eastAsia="宋体"/>
          <w:lang w:eastAsia="zh-CN"/>
        </w:rPr>
        <w:tab/>
      </w:r>
      <w:r>
        <w:rPr>
          <w:rFonts w:hint="eastAsia" w:ascii="Times New Roman" w:hAnsi="Times New Roman" w:eastAsia="宋体"/>
          <w:lang w:eastAsia="zh-CN"/>
        </w:rPr>
        <w:t>For the sake of progress and alignment with RAN3, RAN2 confines the discussion on the configuration index to the SHR and SPR discussion.</w:t>
      </w:r>
    </w:p>
    <w:p>
      <w:pPr>
        <w:shd w:val="clear" w:color="auto" w:fill="FFFFFF"/>
        <w:overflowPunct/>
        <w:autoSpaceDE/>
        <w:autoSpaceDN/>
        <w:adjustRightInd/>
        <w:spacing w:before="133" w:after="0"/>
        <w:jc w:val="both"/>
        <w:textAlignment w:val="auto"/>
        <w:rPr>
          <w:rFonts w:ascii="Times New Roman" w:hAnsi="Times New Roman" w:eastAsia="宋体"/>
          <w:bCs/>
          <w:color w:val="000000"/>
          <w:lang w:val="en-US" w:eastAsia="zh-CN"/>
        </w:rPr>
      </w:pPr>
      <w:r>
        <w:rPr>
          <w:rFonts w:ascii="Times New Roman" w:hAnsi="Times New Roman" w:eastAsia="宋体"/>
          <w:lang w:val="en-US" w:eastAsia="zh-CN" w:bidi="ar"/>
        </w:rPr>
        <w:t>F</w:t>
      </w:r>
      <w:r>
        <w:rPr>
          <w:rFonts w:hint="eastAsia" w:ascii="Times New Roman" w:hAnsi="Times New Roman" w:eastAsia="宋体"/>
          <w:bCs/>
          <w:color w:val="000000"/>
          <w:lang w:val="en-US" w:eastAsia="zh-CN"/>
        </w:rPr>
        <w:t xml:space="preserve">or whether to log the lbt-FailureRecoveryConfig in RLF report, according to the RAN3 LS, the network can retrieve the </w:t>
      </w:r>
      <w:r>
        <w:rPr>
          <w:rFonts w:ascii="Times New Roman" w:hAnsi="Times New Roman" w:eastAsia="宋体"/>
          <w:bCs/>
          <w:color w:val="000000"/>
          <w:lang w:val="en-US" w:eastAsia="zh-CN"/>
        </w:rPr>
        <w:t>UE context or the configuration used for the UE in the last serving node</w:t>
      </w:r>
      <w:r>
        <w:rPr>
          <w:rFonts w:hint="eastAsia" w:ascii="Times New Roman" w:hAnsi="Times New Roman" w:eastAsia="宋体"/>
          <w:bCs/>
          <w:color w:val="000000"/>
          <w:lang w:val="en-US" w:eastAsia="zh-CN"/>
        </w:rPr>
        <w:t xml:space="preserve"> </w:t>
      </w:r>
      <w:r>
        <w:rPr>
          <w:rFonts w:ascii="Times New Roman" w:hAnsi="Times New Roman" w:eastAsia="宋体"/>
          <w:bCs/>
          <w:color w:val="000000"/>
          <w:lang w:val="en-US" w:eastAsia="zh-CN"/>
        </w:rPr>
        <w:t>based on the information provided from the UE (last serving PCell ID and C-RNTI)</w:t>
      </w:r>
      <w:r>
        <w:rPr>
          <w:rFonts w:hint="eastAsia" w:ascii="Times New Roman" w:hAnsi="Times New Roman" w:eastAsia="宋体"/>
          <w:bCs/>
          <w:color w:val="000000"/>
          <w:lang w:val="en-US" w:eastAsia="zh-CN"/>
        </w:rPr>
        <w:t>. But it</w:t>
      </w:r>
      <w:r>
        <w:rPr>
          <w:rFonts w:ascii="Times New Roman" w:hAnsi="Times New Roman" w:eastAsia="宋体"/>
          <w:bCs/>
          <w:color w:val="000000"/>
          <w:lang w:val="en-US" w:eastAsia="zh-CN"/>
        </w:rPr>
        <w:t>’</w:t>
      </w:r>
      <w:r>
        <w:rPr>
          <w:rFonts w:hint="eastAsia" w:ascii="Times New Roman" w:hAnsi="Times New Roman" w:eastAsia="宋体"/>
          <w:bCs/>
          <w:color w:val="000000"/>
          <w:lang w:val="en-US" w:eastAsia="zh-CN"/>
        </w:rPr>
        <w:t xml:space="preserve">s only available when UE attempts re-connection and reports the failure right after connection failure. If the </w:t>
      </w:r>
      <w:r>
        <w:rPr>
          <w:rFonts w:ascii="Times New Roman" w:hAnsi="Times New Roman" w:eastAsia="宋体"/>
          <w:bCs/>
          <w:color w:val="000000"/>
          <w:lang w:val="en-US" w:eastAsia="zh-CN"/>
        </w:rPr>
        <w:t>failure information is fetched from the UE hours after the failure</w:t>
      </w:r>
      <w:r>
        <w:rPr>
          <w:rFonts w:hint="eastAsia" w:ascii="Times New Roman" w:hAnsi="Times New Roman" w:eastAsia="宋体"/>
          <w:bCs/>
          <w:color w:val="000000"/>
          <w:lang w:val="en-US" w:eastAsia="zh-CN"/>
        </w:rPr>
        <w:t xml:space="preserve">, whether the UE configuration can be retrieved is depended on the RAN </w:t>
      </w:r>
      <w:r>
        <w:rPr>
          <w:rFonts w:ascii="Times New Roman" w:hAnsi="Times New Roman" w:eastAsia="宋体"/>
          <w:bCs/>
          <w:color w:val="000000"/>
          <w:lang w:val="en-US" w:eastAsia="zh-CN"/>
        </w:rPr>
        <w:t>implementation</w:t>
      </w:r>
      <w:r>
        <w:rPr>
          <w:rFonts w:hint="eastAsia" w:ascii="Times New Roman" w:hAnsi="Times New Roman" w:eastAsia="宋体"/>
          <w:bCs/>
          <w:color w:val="000000"/>
          <w:lang w:val="en-US" w:eastAsia="zh-CN"/>
        </w:rPr>
        <w:t xml:space="preserve">. </w:t>
      </w:r>
    </w:p>
    <w:p>
      <w:pPr>
        <w:shd w:val="clear" w:color="auto" w:fill="FFFFFF"/>
        <w:overflowPunct/>
        <w:autoSpaceDE/>
        <w:autoSpaceDN/>
        <w:adjustRightInd/>
        <w:spacing w:before="133" w:after="0"/>
        <w:jc w:val="both"/>
        <w:textAlignment w:val="auto"/>
        <w:rPr>
          <w:rFonts w:hint="default" w:ascii="Times New Roman" w:hAnsi="Times New Roman" w:eastAsia="宋体"/>
          <w:lang w:val="en-US" w:eastAsia="zh-CN"/>
        </w:rPr>
      </w:pPr>
      <w:r>
        <w:rPr>
          <w:rFonts w:hint="eastAsia" w:ascii="Times New Roman" w:hAnsi="Times New Roman" w:eastAsia="宋体"/>
          <w:bCs/>
          <w:color w:val="000000"/>
          <w:lang w:val="en-US" w:eastAsia="zh-CN"/>
        </w:rPr>
        <w:t xml:space="preserve">Besides, in RAN2#123, the </w:t>
      </w:r>
      <w:r>
        <w:rPr>
          <w:rFonts w:hint="eastAsia" w:ascii="Times New Roman" w:hAnsi="Times New Roman" w:eastAsia="宋体"/>
          <w:lang w:eastAsia="zh-CN"/>
        </w:rPr>
        <w:t>configuration index to the SHR and SPR</w:t>
      </w:r>
      <w:r>
        <w:rPr>
          <w:rFonts w:hint="eastAsia" w:ascii="Times New Roman" w:hAnsi="Times New Roman" w:eastAsia="宋体"/>
          <w:lang w:val="en-US" w:eastAsia="zh-CN"/>
        </w:rPr>
        <w:t xml:space="preserve"> from RAN3 had been discussed. From our understanding, the </w:t>
      </w:r>
      <w:r>
        <w:rPr>
          <w:rFonts w:hint="eastAsia" w:ascii="Times New Roman" w:hAnsi="Times New Roman" w:eastAsia="宋体"/>
          <w:lang w:eastAsia="zh-CN"/>
        </w:rPr>
        <w:t>configuration index</w:t>
      </w:r>
      <w:r>
        <w:rPr>
          <w:rFonts w:hint="eastAsia" w:ascii="Times New Roman" w:hAnsi="Times New Roman" w:eastAsia="宋体"/>
          <w:lang w:val="en-US" w:eastAsia="zh-CN"/>
        </w:rPr>
        <w:t xml:space="preserve"> is related to SHR and SPR, whether it</w:t>
      </w:r>
      <w:r>
        <w:rPr>
          <w:rFonts w:ascii="Times New Roman" w:hAnsi="Times New Roman" w:eastAsia="宋体"/>
          <w:lang w:val="en-US" w:eastAsia="zh-CN"/>
        </w:rPr>
        <w:t>’</w:t>
      </w:r>
      <w:r>
        <w:rPr>
          <w:rFonts w:hint="eastAsia" w:ascii="Times New Roman" w:hAnsi="Times New Roman" w:eastAsia="宋体"/>
          <w:lang w:val="en-US" w:eastAsia="zh-CN"/>
        </w:rPr>
        <w:t xml:space="preserve">s benefit to NR-U is unclear. And also, there is no consensus on the </w:t>
      </w:r>
      <w:r>
        <w:rPr>
          <w:rFonts w:hint="default" w:ascii="Times New Roman" w:hAnsi="Times New Roman" w:eastAsia="宋体"/>
          <w:lang w:val="en-US" w:eastAsia="zh-CN"/>
        </w:rPr>
        <w:t>‘</w:t>
      </w:r>
      <w:r>
        <w:rPr>
          <w:rFonts w:hint="eastAsia" w:ascii="Times New Roman" w:hAnsi="Times New Roman" w:eastAsia="宋体"/>
          <w:lang w:val="en-US" w:eastAsia="zh-CN"/>
        </w:rPr>
        <w:t>configuration information</w:t>
      </w:r>
      <w:r>
        <w:rPr>
          <w:rFonts w:hint="default" w:ascii="Times New Roman" w:hAnsi="Times New Roman" w:eastAsia="宋体"/>
          <w:lang w:val="en-US" w:eastAsia="zh-CN"/>
        </w:rPr>
        <w:t>’</w:t>
      </w:r>
      <w:r>
        <w:rPr>
          <w:rFonts w:hint="eastAsia" w:ascii="Times New Roman" w:hAnsi="Times New Roman" w:eastAsia="宋体"/>
          <w:lang w:val="en-US" w:eastAsia="zh-CN"/>
        </w:rPr>
        <w:t xml:space="preserve"> based approach of SHR and SPR in RAN3.</w:t>
      </w:r>
    </w:p>
    <w:p>
      <w:pPr>
        <w:shd w:val="clear" w:color="auto" w:fill="FFFFFF"/>
        <w:overflowPunct/>
        <w:autoSpaceDE/>
        <w:autoSpaceDN/>
        <w:adjustRightInd/>
        <w:spacing w:before="133" w:after="0"/>
        <w:jc w:val="both"/>
        <w:textAlignment w:val="auto"/>
        <w:rPr>
          <w:rFonts w:ascii="Times New Roman" w:hAnsi="Times New Roman" w:eastAsia="宋体"/>
          <w:bCs/>
          <w:color w:val="000000"/>
          <w:lang w:val="en-US" w:eastAsia="zh-CN"/>
        </w:rPr>
      </w:pPr>
      <w:r>
        <w:rPr>
          <w:rFonts w:hint="eastAsia" w:ascii="Times New Roman" w:hAnsi="Times New Roman" w:eastAsia="宋体"/>
          <w:lang w:val="en-US" w:eastAsia="zh-CN"/>
        </w:rPr>
        <w:t xml:space="preserve">As the </w:t>
      </w:r>
      <w:r>
        <w:rPr>
          <w:rFonts w:hint="eastAsia" w:ascii="Times New Roman" w:hAnsi="Times New Roman" w:eastAsia="宋体"/>
          <w:bCs/>
          <w:color w:val="000000"/>
          <w:lang w:val="en-US" w:eastAsia="zh-CN"/>
        </w:rPr>
        <w:t>lbt-FailureRecoveryConfig contains only two parameters, including lbt-FailureInstanceMaxCount and lbt-FailureDetectionTimer, we think that UE logs lbt-FailureRecoveryConfig in RLF report may not result in too much signaling overhead.</w:t>
      </w:r>
    </w:p>
    <w:p>
      <w:pPr>
        <w:shd w:val="clear" w:color="auto" w:fill="FFFFFF"/>
        <w:overflowPunct/>
        <w:autoSpaceDE/>
        <w:autoSpaceDN/>
        <w:adjustRightInd/>
        <w:spacing w:before="133" w:after="0"/>
        <w:jc w:val="both"/>
        <w:textAlignment w:val="auto"/>
        <w:rPr>
          <w:rFonts w:hint="default" w:ascii="Times New Roman" w:hAnsi="Times New Roman" w:eastAsia="宋体"/>
          <w:b/>
          <w:color w:val="000000"/>
          <w:lang w:val="en-US" w:eastAsia="zh-CN"/>
        </w:rPr>
      </w:pPr>
      <w:r>
        <w:rPr>
          <w:rFonts w:hint="eastAsia" w:ascii="Times New Roman" w:hAnsi="Times New Roman" w:eastAsia="宋体"/>
          <w:b/>
          <w:color w:val="000000"/>
          <w:lang w:val="en-US" w:eastAsia="zh-CN"/>
        </w:rPr>
        <w:t xml:space="preserve">Observation </w:t>
      </w:r>
      <w:r>
        <w:rPr>
          <w:rFonts w:ascii="Times New Roman" w:hAnsi="Times New Roman" w:eastAsia="宋体"/>
          <w:b/>
          <w:color w:val="000000"/>
          <w:lang w:val="en-US" w:eastAsia="zh-CN"/>
        </w:rPr>
        <w:t>1</w:t>
      </w:r>
      <w:r>
        <w:rPr>
          <w:rFonts w:hint="eastAsia" w:ascii="Times New Roman" w:hAnsi="Times New Roman" w:eastAsia="宋体"/>
          <w:b/>
          <w:color w:val="000000"/>
          <w:lang w:val="en-US" w:eastAsia="zh-CN"/>
        </w:rPr>
        <w:t>: The configuration index discussed in RAN3 is related to SHR and SPR, whether it</w:t>
      </w:r>
      <w:r>
        <w:rPr>
          <w:rFonts w:ascii="Times New Roman" w:hAnsi="Times New Roman" w:eastAsia="宋体"/>
          <w:b/>
          <w:color w:val="000000"/>
          <w:lang w:val="en-US" w:eastAsia="zh-CN"/>
        </w:rPr>
        <w:t>’</w:t>
      </w:r>
      <w:r>
        <w:rPr>
          <w:rFonts w:hint="eastAsia" w:ascii="Times New Roman" w:hAnsi="Times New Roman" w:eastAsia="宋体"/>
          <w:b/>
          <w:color w:val="000000"/>
          <w:lang w:val="en-US" w:eastAsia="zh-CN"/>
        </w:rPr>
        <w:t xml:space="preserve">s benefit to NR-U is unclear. And there is no consensus on the </w:t>
      </w:r>
      <w:r>
        <w:rPr>
          <w:rFonts w:hint="default" w:ascii="Times New Roman" w:hAnsi="Times New Roman" w:eastAsia="宋体"/>
          <w:b/>
          <w:color w:val="000000"/>
          <w:lang w:val="en-US" w:eastAsia="zh-CN"/>
        </w:rPr>
        <w:t>‘</w:t>
      </w:r>
      <w:r>
        <w:rPr>
          <w:rFonts w:hint="eastAsia" w:ascii="Times New Roman" w:hAnsi="Times New Roman" w:eastAsia="宋体"/>
          <w:b/>
          <w:color w:val="000000"/>
          <w:lang w:val="en-US" w:eastAsia="zh-CN"/>
        </w:rPr>
        <w:t>configuration information</w:t>
      </w:r>
      <w:r>
        <w:rPr>
          <w:rFonts w:hint="default" w:ascii="Times New Roman" w:hAnsi="Times New Roman" w:eastAsia="宋体"/>
          <w:b/>
          <w:color w:val="000000"/>
          <w:lang w:val="en-US" w:eastAsia="zh-CN"/>
        </w:rPr>
        <w:t>’</w:t>
      </w:r>
      <w:r>
        <w:rPr>
          <w:rFonts w:hint="eastAsia" w:ascii="Times New Roman" w:hAnsi="Times New Roman" w:eastAsia="宋体"/>
          <w:b/>
          <w:color w:val="000000"/>
          <w:lang w:val="en-US" w:eastAsia="zh-CN"/>
        </w:rPr>
        <w:t xml:space="preserve"> based approach in RAN3. </w:t>
      </w:r>
    </w:p>
    <w:p>
      <w:pPr>
        <w:shd w:val="clear" w:color="auto" w:fill="FFFFFF"/>
        <w:overflowPunct/>
        <w:autoSpaceDE/>
        <w:autoSpaceDN/>
        <w:adjustRightInd/>
        <w:spacing w:before="133" w:after="0"/>
        <w:jc w:val="both"/>
        <w:textAlignment w:val="auto"/>
        <w:rPr>
          <w:rFonts w:ascii="Times New Roman" w:hAnsi="Times New Roman" w:eastAsia="宋体"/>
          <w:bCs/>
          <w:color w:val="000000"/>
          <w:lang w:val="en-US" w:eastAsia="zh-CN"/>
        </w:rPr>
      </w:pPr>
      <w:r>
        <w:rPr>
          <w:rFonts w:hint="eastAsia" w:ascii="Times New Roman" w:hAnsi="Times New Roman" w:eastAsia="宋体"/>
          <w:b/>
          <w:color w:val="000000"/>
          <w:lang w:val="en-US" w:eastAsia="zh-CN"/>
        </w:rPr>
        <w:t>Observation 2: As lbt-FailureRecoveryConfig contains only two parameters, logging lbt-FailureRecoveryConfig in RLF report may not result in too much signaling overhead.</w:t>
      </w:r>
    </w:p>
    <w:p>
      <w:pPr>
        <w:shd w:val="clear" w:color="auto" w:fill="FFFFFF"/>
        <w:overflowPunct/>
        <w:autoSpaceDE/>
        <w:autoSpaceDN/>
        <w:adjustRightInd/>
        <w:spacing w:before="133" w:after="0"/>
        <w:jc w:val="both"/>
        <w:textAlignment w:val="auto"/>
        <w:rPr>
          <w:rFonts w:ascii="Times New Roman" w:hAnsi="Times New Roman" w:eastAsia="宋体"/>
          <w:bCs/>
          <w:color w:val="000000"/>
          <w:lang w:val="en-US" w:eastAsia="zh-CN"/>
        </w:rPr>
      </w:pPr>
      <w:r>
        <w:rPr>
          <w:rFonts w:hint="eastAsia" w:ascii="Times New Roman" w:hAnsi="Times New Roman" w:eastAsia="宋体"/>
          <w:bCs/>
          <w:color w:val="000000"/>
          <w:lang w:val="en-US" w:eastAsia="zh-CN"/>
        </w:rPr>
        <w:t xml:space="preserve">So, in order to enable </w:t>
      </w:r>
      <w:r>
        <w:rPr>
          <w:rFonts w:ascii="Times New Roman" w:hAnsi="Times New Roman" w:eastAsia="宋体"/>
          <w:bCs/>
          <w:color w:val="000000"/>
          <w:lang w:val="en-US" w:eastAsia="zh-CN"/>
        </w:rPr>
        <w:t xml:space="preserve">the </w:t>
      </w:r>
      <w:r>
        <w:rPr>
          <w:rFonts w:hint="eastAsia" w:ascii="Times New Roman" w:hAnsi="Times New Roman" w:eastAsia="宋体"/>
          <w:bCs/>
          <w:color w:val="000000"/>
          <w:lang w:val="en-US" w:eastAsia="zh-CN"/>
        </w:rPr>
        <w:t xml:space="preserve">network </w:t>
      </w:r>
      <w:r>
        <w:rPr>
          <w:rFonts w:ascii="Times New Roman" w:hAnsi="Times New Roman" w:eastAsia="宋体"/>
          <w:bCs/>
          <w:color w:val="000000"/>
          <w:lang w:val="en-US" w:eastAsia="zh-CN"/>
        </w:rPr>
        <w:t xml:space="preserve">can </w:t>
      </w:r>
      <w:r>
        <w:rPr>
          <w:rFonts w:hint="eastAsia" w:ascii="Times New Roman" w:hAnsi="Times New Roman" w:eastAsia="宋体"/>
          <w:bCs/>
          <w:color w:val="000000"/>
          <w:lang w:val="en-US" w:eastAsia="zh-CN"/>
        </w:rPr>
        <w:t>obtain the UE configuration, it is simple for UE to log lbt-FailureRecoveryConfig in the RLF-Report upon re-establishment procedure failure.</w:t>
      </w:r>
    </w:p>
    <w:p>
      <w:pPr>
        <w:shd w:val="clear" w:color="auto" w:fill="FFFFFF"/>
        <w:overflowPunct/>
        <w:autoSpaceDE/>
        <w:autoSpaceDN/>
        <w:adjustRightInd/>
        <w:spacing w:before="133" w:after="0"/>
        <w:jc w:val="both"/>
        <w:textAlignment w:val="auto"/>
        <w:rPr>
          <w:rFonts w:ascii="Times New Roman" w:hAnsi="Times New Roman" w:eastAsia="宋体"/>
          <w:bCs/>
          <w:color w:val="000000"/>
          <w:lang w:val="en-US" w:eastAsia="zh-CN"/>
        </w:rPr>
      </w:pPr>
      <w:r>
        <w:rPr>
          <w:rFonts w:ascii="Times New Roman" w:hAnsi="Times New Roman" w:eastAsia="宋体"/>
          <w:b/>
          <w:color w:val="000000"/>
          <w:lang w:eastAsia="zh-CN"/>
        </w:rPr>
        <w:t>Proposal 1:</w:t>
      </w:r>
      <w:r>
        <w:rPr>
          <w:rFonts w:hint="eastAsia" w:ascii="Times New Roman" w:hAnsi="Times New Roman" w:eastAsia="宋体"/>
          <w:b/>
          <w:color w:val="000000"/>
          <w:lang w:val="en-US" w:eastAsia="zh-CN"/>
        </w:rPr>
        <w:t xml:space="preserve"> UE logs lbt-FailureRecoveryConfig in the RLF-Report upon re-establishment procedure failure.</w:t>
      </w:r>
    </w:p>
    <w:p>
      <w:pPr>
        <w:shd w:val="clear" w:color="auto" w:fill="FFFFFF"/>
        <w:overflowPunct/>
        <w:autoSpaceDE/>
        <w:autoSpaceDN/>
        <w:adjustRightInd/>
        <w:spacing w:before="133" w:after="0"/>
        <w:jc w:val="both"/>
        <w:textAlignment w:val="auto"/>
        <w:rPr>
          <w:rFonts w:ascii="Times New Roman" w:hAnsi="Times New Roman" w:eastAsia="宋体"/>
          <w:bCs/>
          <w:color w:val="000000"/>
          <w:lang w:val="en-US" w:eastAsia="zh-CN"/>
        </w:rPr>
      </w:pPr>
    </w:p>
    <w:p>
      <w:pPr>
        <w:pStyle w:val="3"/>
        <w:rPr>
          <w:rFonts w:eastAsiaTheme="minorEastAsia"/>
          <w:lang w:val="en-US" w:eastAsia="zh-CN" w:bidi="ar"/>
        </w:rPr>
      </w:pPr>
      <w:r>
        <w:rPr>
          <w:rFonts w:hint="eastAsia" w:eastAsia="宋体"/>
          <w:lang w:val="en-US" w:eastAsia="zh-CN"/>
        </w:rPr>
        <w:t>2.2 SHR</w:t>
      </w:r>
    </w:p>
    <w:p>
      <w:pPr>
        <w:shd w:val="clear" w:color="auto" w:fill="FFFFFF"/>
        <w:overflowPunct/>
        <w:autoSpaceDE/>
        <w:autoSpaceDN/>
        <w:adjustRightInd/>
        <w:spacing w:before="133" w:after="0"/>
        <w:jc w:val="both"/>
        <w:textAlignment w:val="auto"/>
        <w:rPr>
          <w:rFonts w:ascii="Times New Roman" w:hAnsi="Times New Roman" w:eastAsia="宋体"/>
          <w:lang w:val="en-US" w:eastAsia="zh-CN" w:bidi="ar"/>
        </w:rPr>
      </w:pPr>
      <w:r>
        <w:rPr>
          <w:rFonts w:hint="eastAsia" w:ascii="Times New Roman" w:hAnsi="Times New Roman" w:eastAsia="Times New Roman"/>
          <w:lang w:val="en-US" w:bidi="ar"/>
        </w:rPr>
        <w:t xml:space="preserve">In </w:t>
      </w:r>
      <w:r>
        <w:rPr>
          <w:rFonts w:hint="eastAsia" w:ascii="Times New Roman" w:hAnsi="Times New Roman" w:eastAsia="等线"/>
          <w:lang w:val="en-US" w:eastAsia="zh-CN" w:bidi="ar"/>
        </w:rPr>
        <w:t>RAN2#123</w:t>
      </w:r>
      <w:r>
        <w:rPr>
          <w:rFonts w:hint="eastAsia" w:ascii="Times New Roman" w:hAnsi="Times New Roman" w:eastAsia="Times New Roman"/>
          <w:lang w:val="en-US" w:bidi="ar"/>
        </w:rPr>
        <w:t xml:space="preserve">, </w:t>
      </w:r>
      <w:r>
        <w:rPr>
          <w:rFonts w:hint="eastAsia" w:ascii="Times New Roman" w:hAnsi="Times New Roman" w:eastAsia="宋体"/>
          <w:lang w:val="en-US" w:eastAsia="zh-CN" w:bidi="ar"/>
        </w:rPr>
        <w:t>the remaining issues for SHR are including as following:</w:t>
      </w:r>
    </w:p>
    <w:p>
      <w:pPr>
        <w:widowControl w:val="0"/>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eastAsia="zh-CN"/>
        </w:rPr>
      </w:pPr>
      <w:r>
        <w:rPr>
          <w:rFonts w:hint="eastAsia" w:ascii="Times New Roman" w:hAnsi="Times New Roman" w:eastAsia="宋体"/>
          <w:lang w:eastAsia="zh-CN"/>
        </w:rPr>
        <w:t>FFS7:</w:t>
      </w:r>
      <w:r>
        <w:rPr>
          <w:rFonts w:hint="eastAsia" w:ascii="Times New Roman" w:hAnsi="Times New Roman" w:eastAsia="宋体"/>
          <w:lang w:eastAsia="zh-CN"/>
        </w:rPr>
        <w:tab/>
      </w:r>
      <w:r>
        <w:rPr>
          <w:rFonts w:hint="eastAsia" w:ascii="Times New Roman" w:hAnsi="Times New Roman" w:eastAsia="宋体"/>
          <w:lang w:eastAsia="zh-CN"/>
        </w:rPr>
        <w:t>Agree logging the LBT information of the source cell at the moment of performing HO. FFS the details (e.g., number of LBT failure or consistent LTB failure, etc.)</w:t>
      </w:r>
    </w:p>
    <w:p>
      <w:pPr>
        <w:shd w:val="clear" w:color="auto" w:fill="FFFFFF"/>
        <w:overflowPunct/>
        <w:autoSpaceDE/>
        <w:autoSpaceDN/>
        <w:adjustRightInd/>
        <w:spacing w:before="133" w:after="0"/>
        <w:jc w:val="both"/>
        <w:textAlignment w:val="auto"/>
        <w:rPr>
          <w:rFonts w:ascii="Times New Roman" w:hAnsi="Times New Roman" w:eastAsia="宋体"/>
          <w:lang w:val="en-US" w:eastAsia="zh-CN"/>
        </w:rPr>
      </w:pPr>
      <w:r>
        <w:rPr>
          <w:rFonts w:hint="eastAsia" w:ascii="Times New Roman" w:hAnsi="Times New Roman" w:eastAsia="宋体"/>
          <w:lang w:val="en-US" w:eastAsia="zh-CN" w:bidi="ar"/>
        </w:rPr>
        <w:t xml:space="preserve">For SHR, one of the remaining issues is whether to </w:t>
      </w:r>
      <w:r>
        <w:rPr>
          <w:rFonts w:hint="eastAsia" w:ascii="Times New Roman" w:hAnsi="Times New Roman" w:eastAsia="宋体"/>
          <w:lang w:eastAsia="zh-CN"/>
        </w:rPr>
        <w:t>log the LBT information of the source cell at the moment of performing HO</w:t>
      </w:r>
      <w:r>
        <w:rPr>
          <w:rFonts w:hint="eastAsia" w:ascii="Times New Roman" w:hAnsi="Times New Roman" w:eastAsia="宋体"/>
          <w:lang w:val="en-US" w:eastAsia="zh-CN" w:bidi="ar"/>
        </w:rPr>
        <w:t xml:space="preserve">. Upon initiating HO, UE will not perform LBT in source cell, but in the target cell. The benefit of logging the LBT information of source cell is unclear when performing HO. For source cell, the RA report and RLF report can be used to log LBT information. So, we propose to log the LBT information, e.g. </w:t>
      </w:r>
      <w:r>
        <w:rPr>
          <w:rFonts w:hint="eastAsia" w:ascii="Times New Roman" w:hAnsi="Times New Roman" w:eastAsia="宋体"/>
          <w:lang w:eastAsia="zh-CN"/>
        </w:rPr>
        <w:t>number of LBT failure</w:t>
      </w:r>
      <w:r>
        <w:rPr>
          <w:rFonts w:hint="eastAsia" w:ascii="Times New Roman" w:hAnsi="Times New Roman" w:eastAsia="宋体"/>
          <w:lang w:val="en-US" w:eastAsia="zh-CN"/>
        </w:rPr>
        <w:t>s, for target cell.</w:t>
      </w:r>
    </w:p>
    <w:p>
      <w:pPr>
        <w:shd w:val="clear" w:color="auto" w:fill="FFFFFF"/>
        <w:overflowPunct/>
        <w:autoSpaceDE/>
        <w:autoSpaceDN/>
        <w:adjustRightInd/>
        <w:spacing w:before="133" w:after="0"/>
        <w:jc w:val="both"/>
        <w:textAlignment w:val="auto"/>
        <w:rPr>
          <w:rFonts w:ascii="Times New Roman" w:hAnsi="Times New Roman" w:eastAsia="宋体"/>
          <w:lang w:val="en-US" w:eastAsia="zh-CN"/>
        </w:rPr>
      </w:pPr>
      <w:r>
        <w:rPr>
          <w:rFonts w:ascii="Times New Roman" w:hAnsi="Times New Roman" w:eastAsia="宋体"/>
          <w:b/>
          <w:color w:val="000000"/>
          <w:lang w:eastAsia="zh-CN"/>
        </w:rPr>
        <w:t xml:space="preserve">Proposal </w:t>
      </w:r>
      <w:r>
        <w:rPr>
          <w:rFonts w:ascii="Times New Roman" w:hAnsi="Times New Roman" w:eastAsia="宋体"/>
          <w:b/>
          <w:color w:val="000000"/>
          <w:lang w:val="en-US" w:eastAsia="zh-CN"/>
        </w:rPr>
        <w:t>2</w:t>
      </w:r>
      <w:r>
        <w:rPr>
          <w:rFonts w:ascii="Times New Roman" w:hAnsi="Times New Roman" w:eastAsia="宋体"/>
          <w:b/>
          <w:color w:val="000000"/>
          <w:lang w:eastAsia="zh-CN"/>
        </w:rPr>
        <w:t>:</w:t>
      </w:r>
      <w:r>
        <w:rPr>
          <w:rFonts w:hint="eastAsia" w:ascii="Times New Roman" w:hAnsi="Times New Roman" w:eastAsia="宋体"/>
          <w:b/>
          <w:color w:val="000000"/>
          <w:lang w:val="en-US" w:eastAsia="zh-CN"/>
        </w:rPr>
        <w:t xml:space="preserve"> Log the LBT information in SHR, e.g. number of LBT failures, for target cell. </w:t>
      </w:r>
    </w:p>
    <w:p>
      <w:pPr>
        <w:shd w:val="clear" w:color="auto" w:fill="FFFFFF"/>
        <w:overflowPunct/>
        <w:autoSpaceDE/>
        <w:autoSpaceDN/>
        <w:adjustRightInd/>
        <w:spacing w:before="133" w:after="0"/>
        <w:jc w:val="both"/>
        <w:textAlignment w:val="auto"/>
        <w:rPr>
          <w:rFonts w:ascii="Times New Roman" w:hAnsi="Times New Roman" w:eastAsia="宋体"/>
          <w:lang w:val="en-US" w:eastAsia="zh-CN" w:bidi="ar"/>
        </w:rPr>
      </w:pPr>
      <w:r>
        <w:rPr>
          <w:rFonts w:hint="eastAsia" w:ascii="Times New Roman" w:hAnsi="Times New Roman" w:eastAsia="宋体"/>
          <w:lang w:val="en-US" w:eastAsia="zh-CN" w:bidi="ar"/>
        </w:rPr>
        <w:t xml:space="preserve"> </w:t>
      </w:r>
    </w:p>
    <w:bookmarkEnd w:id="1"/>
    <w:bookmarkEnd w:id="2"/>
    <w:p>
      <w:pPr>
        <w:shd w:val="clear" w:color="auto" w:fill="FFFFFF"/>
        <w:spacing w:before="133"/>
        <w:jc w:val="both"/>
        <w:rPr>
          <w:rFonts w:ascii="Times New Roman" w:hAnsi="Times New Roman" w:eastAsiaTheme="minorEastAsia"/>
          <w:lang w:eastAsia="zh-CN"/>
        </w:rPr>
      </w:pPr>
    </w:p>
    <w:p>
      <w:pPr>
        <w:pStyle w:val="2"/>
        <w:ind w:left="567" w:hanging="567"/>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hint="eastAsia" w:eastAsia="宋体" w:cs="Arial"/>
          <w:sz w:val="32"/>
          <w:szCs w:val="32"/>
          <w:lang w:eastAsia="zh-CN"/>
        </w:rPr>
        <w:t>Conclusion</w:t>
      </w:r>
    </w:p>
    <w:p>
      <w:pPr>
        <w:shd w:val="clear" w:color="auto" w:fill="FFFFFF"/>
        <w:overflowPunct/>
        <w:autoSpaceDE/>
        <w:autoSpaceDN/>
        <w:adjustRightInd/>
        <w:spacing w:before="133" w:after="0"/>
        <w:jc w:val="both"/>
        <w:textAlignment w:val="auto"/>
        <w:rPr>
          <w:rFonts w:hint="default" w:ascii="Times New Roman" w:hAnsi="Times New Roman" w:eastAsia="宋体"/>
          <w:b/>
          <w:color w:val="000000"/>
          <w:lang w:val="en-US" w:eastAsia="zh-CN"/>
        </w:rPr>
      </w:pPr>
      <w:r>
        <w:rPr>
          <w:rFonts w:hint="eastAsia" w:ascii="Times New Roman" w:hAnsi="Times New Roman" w:eastAsia="宋体"/>
          <w:b/>
          <w:color w:val="000000"/>
          <w:lang w:val="en-US" w:eastAsia="zh-CN"/>
        </w:rPr>
        <w:t xml:space="preserve">Observation </w:t>
      </w:r>
      <w:r>
        <w:rPr>
          <w:rFonts w:ascii="Times New Roman" w:hAnsi="Times New Roman" w:eastAsia="宋体"/>
          <w:b/>
          <w:color w:val="000000"/>
          <w:lang w:val="en-US" w:eastAsia="zh-CN"/>
        </w:rPr>
        <w:t>1</w:t>
      </w:r>
      <w:r>
        <w:rPr>
          <w:rFonts w:hint="eastAsia" w:ascii="Times New Roman" w:hAnsi="Times New Roman" w:eastAsia="宋体"/>
          <w:b/>
          <w:color w:val="000000"/>
          <w:lang w:val="en-US" w:eastAsia="zh-CN"/>
        </w:rPr>
        <w:t>: The configuration index discussed in RAN3 is related to SHR and SPR, whether it</w:t>
      </w:r>
      <w:r>
        <w:rPr>
          <w:rFonts w:ascii="Times New Roman" w:hAnsi="Times New Roman" w:eastAsia="宋体"/>
          <w:b/>
          <w:color w:val="000000"/>
          <w:lang w:val="en-US" w:eastAsia="zh-CN"/>
        </w:rPr>
        <w:t>’</w:t>
      </w:r>
      <w:r>
        <w:rPr>
          <w:rFonts w:hint="eastAsia" w:ascii="Times New Roman" w:hAnsi="Times New Roman" w:eastAsia="宋体"/>
          <w:b/>
          <w:color w:val="000000"/>
          <w:lang w:val="en-US" w:eastAsia="zh-CN"/>
        </w:rPr>
        <w:t xml:space="preserve">s benefit to NR-U is unclear. And there is no consensus on the </w:t>
      </w:r>
      <w:r>
        <w:rPr>
          <w:rFonts w:hint="default" w:ascii="Times New Roman" w:hAnsi="Times New Roman" w:eastAsia="宋体"/>
          <w:b/>
          <w:color w:val="000000"/>
          <w:lang w:val="en-US" w:eastAsia="zh-CN"/>
        </w:rPr>
        <w:t>‘</w:t>
      </w:r>
      <w:r>
        <w:rPr>
          <w:rFonts w:hint="eastAsia" w:ascii="Times New Roman" w:hAnsi="Times New Roman" w:eastAsia="宋体"/>
          <w:b/>
          <w:color w:val="000000"/>
          <w:lang w:val="en-US" w:eastAsia="zh-CN"/>
        </w:rPr>
        <w:t>configuration information</w:t>
      </w:r>
      <w:r>
        <w:rPr>
          <w:rFonts w:hint="default" w:ascii="Times New Roman" w:hAnsi="Times New Roman" w:eastAsia="宋体"/>
          <w:b/>
          <w:color w:val="000000"/>
          <w:lang w:val="en-US" w:eastAsia="zh-CN"/>
        </w:rPr>
        <w:t>’</w:t>
      </w:r>
      <w:r>
        <w:rPr>
          <w:rFonts w:hint="eastAsia" w:ascii="Times New Roman" w:hAnsi="Times New Roman" w:eastAsia="宋体"/>
          <w:b/>
          <w:color w:val="000000"/>
          <w:lang w:val="en-US" w:eastAsia="zh-CN"/>
        </w:rPr>
        <w:t xml:space="preserve"> based approach in RAN3. </w:t>
      </w:r>
    </w:p>
    <w:p>
      <w:pPr>
        <w:shd w:val="clear" w:color="auto" w:fill="FFFFFF"/>
        <w:overflowPunct/>
        <w:autoSpaceDE/>
        <w:autoSpaceDN/>
        <w:adjustRightInd/>
        <w:spacing w:before="133" w:after="0"/>
        <w:jc w:val="both"/>
        <w:textAlignment w:val="auto"/>
        <w:rPr>
          <w:rFonts w:ascii="Times New Roman" w:hAnsi="Times New Roman" w:eastAsia="宋体"/>
          <w:b/>
          <w:color w:val="000000"/>
          <w:lang w:val="en-US" w:eastAsia="zh-CN"/>
        </w:rPr>
      </w:pPr>
      <w:r>
        <w:rPr>
          <w:rFonts w:hint="eastAsia" w:ascii="Times New Roman" w:hAnsi="Times New Roman" w:eastAsia="宋体"/>
          <w:b/>
          <w:color w:val="000000"/>
          <w:lang w:val="en-US" w:eastAsia="zh-CN"/>
        </w:rPr>
        <w:t>Observation 2: As lbt-FailureRecoveryConfig contains only two parameters, logging lbt-FailureRecoveryConfig in RLF report may not result in too much signaling overhead.</w:t>
      </w:r>
    </w:p>
    <w:p>
      <w:pPr>
        <w:shd w:val="clear" w:color="auto" w:fill="FFFFFF"/>
        <w:overflowPunct/>
        <w:autoSpaceDE/>
        <w:autoSpaceDN/>
        <w:adjustRightInd/>
        <w:spacing w:before="133" w:after="0"/>
        <w:jc w:val="both"/>
        <w:textAlignment w:val="auto"/>
        <w:rPr>
          <w:rFonts w:ascii="Times New Roman" w:hAnsi="Times New Roman" w:eastAsia="宋体"/>
          <w:b/>
          <w:color w:val="000000"/>
          <w:lang w:val="en-US" w:eastAsia="zh-CN"/>
        </w:rPr>
      </w:pPr>
      <w:r>
        <w:rPr>
          <w:rFonts w:ascii="Times New Roman" w:hAnsi="Times New Roman" w:eastAsia="宋体"/>
          <w:b/>
          <w:color w:val="000000"/>
          <w:lang w:eastAsia="zh-CN"/>
        </w:rPr>
        <w:t>Proposal 1:</w:t>
      </w:r>
      <w:r>
        <w:rPr>
          <w:rFonts w:hint="eastAsia" w:ascii="Times New Roman" w:hAnsi="Times New Roman" w:eastAsia="宋体"/>
          <w:b/>
          <w:color w:val="000000"/>
          <w:lang w:val="en-US" w:eastAsia="zh-CN"/>
        </w:rPr>
        <w:t xml:space="preserve"> UE logs lbt-FailureRecoveryConfig in the RLF-Report upon re-establishment procedure failure.</w:t>
      </w:r>
    </w:p>
    <w:p>
      <w:pPr>
        <w:shd w:val="clear" w:color="auto" w:fill="FFFFFF"/>
        <w:overflowPunct/>
        <w:autoSpaceDE/>
        <w:autoSpaceDN/>
        <w:adjustRightInd/>
        <w:spacing w:before="133" w:after="0"/>
        <w:jc w:val="both"/>
        <w:textAlignment w:val="auto"/>
        <w:rPr>
          <w:rFonts w:ascii="Times New Roman" w:hAnsi="Times New Roman" w:eastAsiaTheme="minorEastAsia"/>
          <w:lang w:val="en-US" w:eastAsia="zh-CN"/>
        </w:rPr>
      </w:pPr>
      <w:r>
        <w:rPr>
          <w:rFonts w:ascii="Times New Roman" w:hAnsi="Times New Roman" w:eastAsia="宋体"/>
          <w:b/>
          <w:color w:val="000000"/>
          <w:lang w:eastAsia="zh-CN"/>
        </w:rPr>
        <w:t xml:space="preserve">Proposal </w:t>
      </w:r>
      <w:r>
        <w:rPr>
          <w:rFonts w:ascii="Times New Roman" w:hAnsi="Times New Roman" w:eastAsia="宋体"/>
          <w:b/>
          <w:color w:val="000000"/>
          <w:lang w:val="en-US" w:eastAsia="zh-CN"/>
        </w:rPr>
        <w:t>2</w:t>
      </w:r>
      <w:r>
        <w:rPr>
          <w:rFonts w:ascii="Times New Roman" w:hAnsi="Times New Roman" w:eastAsia="宋体"/>
          <w:b/>
          <w:color w:val="000000"/>
          <w:lang w:eastAsia="zh-CN"/>
        </w:rPr>
        <w:t>:</w:t>
      </w:r>
      <w:r>
        <w:rPr>
          <w:rFonts w:hint="eastAsia" w:ascii="Times New Roman" w:hAnsi="Times New Roman" w:eastAsia="宋体"/>
          <w:b/>
          <w:color w:val="000000"/>
          <w:lang w:val="en-US" w:eastAsia="zh-CN"/>
        </w:rPr>
        <w:t xml:space="preserve"> Log the LBT information in SHR, e.g. number of LBT failures, for target cell.</w:t>
      </w:r>
    </w:p>
    <w:p>
      <w:pPr>
        <w:shd w:val="clear" w:color="auto" w:fill="FFFFFF"/>
        <w:overflowPunct/>
        <w:autoSpaceDE/>
        <w:autoSpaceDN/>
        <w:adjustRightInd/>
        <w:spacing w:before="133" w:after="0"/>
        <w:jc w:val="both"/>
        <w:textAlignment w:val="auto"/>
        <w:rPr>
          <w:rFonts w:ascii="Times New Roman" w:hAnsi="Times New Roman" w:eastAsia="宋体"/>
          <w:b/>
          <w:color w:val="000000"/>
          <w:lang w:val="en-US" w:eastAsia="zh-CN"/>
        </w:rPr>
      </w:pPr>
    </w:p>
    <w:p>
      <w:pPr>
        <w:spacing w:after="240"/>
        <w:jc w:val="both"/>
        <w:rPr>
          <w:rFonts w:ascii="Times New Roman" w:hAnsi="Times New Roman" w:eastAsiaTheme="minorEastAsia"/>
          <w:b/>
          <w:lang w:eastAsia="zh-CN"/>
        </w:rPr>
      </w:pPr>
    </w:p>
    <w:p>
      <w:pPr>
        <w:pStyle w:val="2"/>
        <w:ind w:left="567" w:hanging="567"/>
        <w:rPr>
          <w:rFonts w:eastAsia="宋体" w:cs="Arial"/>
          <w:sz w:val="32"/>
          <w:szCs w:val="32"/>
          <w:lang w:eastAsia="zh-CN"/>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pStyle w:val="71"/>
        <w:ind w:left="0" w:firstLine="0"/>
        <w:rPr>
          <w:lang w:eastAsia="zh-CN"/>
        </w:rPr>
      </w:pPr>
      <w:r>
        <w:rPr>
          <w:rFonts w:hint="eastAsia"/>
          <w:lang w:eastAsia="zh-CN"/>
        </w:rPr>
        <w:t xml:space="preserve">[1] </w:t>
      </w:r>
      <w:r>
        <w:rPr>
          <w:rFonts w:hint="eastAsia"/>
          <w:lang w:eastAsia="zh-CN"/>
        </w:rPr>
        <w:tab/>
      </w:r>
      <w:r>
        <w:rPr>
          <w:lang w:eastAsia="zh-CN"/>
        </w:rPr>
        <w:t>RP-</w:t>
      </w:r>
      <w:r>
        <w:rPr>
          <w:rFonts w:hint="eastAsia"/>
          <w:lang w:eastAsia="zh-CN"/>
        </w:rPr>
        <w:t xml:space="preserve">221825, </w:t>
      </w:r>
      <w:r>
        <w:rPr>
          <w:lang w:eastAsia="zh-CN"/>
        </w:rPr>
        <w:t>“</w:t>
      </w:r>
      <w:r>
        <w:rPr>
          <w:rFonts w:hint="eastAsia"/>
          <w:lang w:eastAsia="zh-CN"/>
        </w:rPr>
        <w:t xml:space="preserve">New WID on Further </w:t>
      </w:r>
      <w:r>
        <w:rPr>
          <w:lang w:eastAsia="zh-CN"/>
        </w:rPr>
        <w:t>Enhancement of Data Collection for SON_MDT in NR standalone and MR-DC”</w:t>
      </w:r>
      <w:r>
        <w:rPr>
          <w:rFonts w:hint="eastAsia"/>
          <w:lang w:eastAsia="zh-CN"/>
        </w:rPr>
        <w:t>, CMCC</w:t>
      </w:r>
    </w:p>
    <w:sectPr>
      <w:footerReference r:id="rId4" w:type="default"/>
      <w:footerReference r:id="rId5" w:type="even"/>
      <w:pgSz w:w="12240" w:h="15840"/>
      <w:pgMar w:top="1418" w:right="1134" w:bottom="1134"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Arial">
    <w:panose1 w:val="020B0604020202020204"/>
    <w:charset w:val="00"/>
    <w:family w:val="swiss"/>
    <w:pitch w:val="default"/>
    <w:sig w:usb0="E0002EFF" w:usb1="C000785B" w:usb2="00000009" w:usb3="00000000" w:csb0="400001FF" w:csb1="FFFF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Math">
    <w:panose1 w:val="02040503050406030204"/>
    <w:charset w:val="00"/>
    <w:family w:val="auto"/>
    <w:pitch w:val="variable"/>
    <w:sig w:usb0="E00006FF" w:usb1="420024FF" w:usb2="02000000" w:usb3="00000000" w:csb0="2000019F" w:csb1="00000000"/>
  </w:font>
  <w:font w:name="@宋体">
    <w:panose1 w:val="02010600030101010101"/>
    <w:charset w:val="86"/>
    <w:family w:val="auto"/>
    <w:pitch w:val="variable"/>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right" w:y="1"/>
      <w:rPr>
        <w:rStyle w:val="26"/>
      </w:rPr>
    </w:pPr>
    <w:r>
      <w:rPr>
        <w:rStyle w:val="26"/>
      </w:rPr>
      <w:fldChar w:fldCharType="begin"/>
    </w:r>
    <w:r>
      <w:rPr>
        <w:rStyle w:val="26"/>
      </w:rPr>
      <w:instrText xml:space="preserve">PAGE  </w:instrText>
    </w:r>
    <w:r>
      <w:rPr>
        <w:rStyle w:val="26"/>
      </w:rPr>
      <w:fldChar w:fldCharType="separate"/>
    </w:r>
    <w:r>
      <w:rPr>
        <w:rStyle w:val="26"/>
      </w:rPr>
      <w:t>3</w:t>
    </w:r>
    <w:r>
      <w:rPr>
        <w:rStyle w:val="26"/>
      </w:rPr>
      <w:fldChar w:fldCharType="end"/>
    </w:r>
  </w:p>
  <w:p>
    <w:pPr>
      <w:pStyle w:val="1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right" w:y="1"/>
      <w:rPr>
        <w:rStyle w:val="26"/>
      </w:rPr>
    </w:pPr>
    <w:r>
      <w:rPr>
        <w:rStyle w:val="26"/>
      </w:rPr>
      <w:fldChar w:fldCharType="begin"/>
    </w:r>
    <w:r>
      <w:rPr>
        <w:rStyle w:val="26"/>
      </w:rPr>
      <w:instrText xml:space="preserve">PAGE  </w:instrText>
    </w:r>
    <w:r>
      <w:rPr>
        <w:rStyle w:val="26"/>
      </w:rPr>
      <w:fldChar w:fldCharType="separate"/>
    </w:r>
    <w:r>
      <w:rPr>
        <w:rStyle w:val="26"/>
      </w:rPr>
      <w:t>1</w:t>
    </w:r>
    <w:r>
      <w:rPr>
        <w:rStyle w:val="26"/>
      </w:rPr>
      <w:fldChar w:fldCharType="end"/>
    </w:r>
  </w:p>
  <w:p>
    <w:pPr>
      <w:pStyle w:val="1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A46647"/>
    <w:multiLevelType w:val="multilevel"/>
    <w:tmpl w:val="3AA46647"/>
    <w:lvl w:ilvl="0" w:tentative="0">
      <w:start w:val="1"/>
      <w:numFmt w:val="decimal"/>
      <w:pStyle w:val="4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5101505E"/>
    <w:multiLevelType w:val="multilevel"/>
    <w:tmpl w:val="5101505E"/>
    <w:lvl w:ilvl="0" w:tentative="0">
      <w:start w:val="1"/>
      <w:numFmt w:val="decimal"/>
      <w:pStyle w:val="44"/>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0"/>
  <w:displayVerticalDrawingGridEvery w:val="2"/>
  <w:characterSpacingControl w:val="doNotCompress"/>
  <w:footnotePr>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8A5"/>
    <w:rsid w:val="00000C18"/>
    <w:rsid w:val="000014CD"/>
    <w:rsid w:val="000020DB"/>
    <w:rsid w:val="00002C5D"/>
    <w:rsid w:val="0000308C"/>
    <w:rsid w:val="000031E3"/>
    <w:rsid w:val="00003E80"/>
    <w:rsid w:val="00004316"/>
    <w:rsid w:val="00004405"/>
    <w:rsid w:val="00004A98"/>
    <w:rsid w:val="000051C1"/>
    <w:rsid w:val="00005B16"/>
    <w:rsid w:val="0000632C"/>
    <w:rsid w:val="000063A8"/>
    <w:rsid w:val="00006B5A"/>
    <w:rsid w:val="00007067"/>
    <w:rsid w:val="000101A2"/>
    <w:rsid w:val="00012C96"/>
    <w:rsid w:val="0001438B"/>
    <w:rsid w:val="00015FEC"/>
    <w:rsid w:val="0001612D"/>
    <w:rsid w:val="000163D9"/>
    <w:rsid w:val="000179F4"/>
    <w:rsid w:val="00020E6C"/>
    <w:rsid w:val="00020F37"/>
    <w:rsid w:val="00021601"/>
    <w:rsid w:val="000229F5"/>
    <w:rsid w:val="00022A64"/>
    <w:rsid w:val="00023F15"/>
    <w:rsid w:val="0002464A"/>
    <w:rsid w:val="0002472A"/>
    <w:rsid w:val="00024739"/>
    <w:rsid w:val="00026873"/>
    <w:rsid w:val="00026D53"/>
    <w:rsid w:val="0002787E"/>
    <w:rsid w:val="00030B86"/>
    <w:rsid w:val="00031151"/>
    <w:rsid w:val="0003158E"/>
    <w:rsid w:val="00031973"/>
    <w:rsid w:val="0003201E"/>
    <w:rsid w:val="00032355"/>
    <w:rsid w:val="0003253C"/>
    <w:rsid w:val="0003377C"/>
    <w:rsid w:val="00033E04"/>
    <w:rsid w:val="00034193"/>
    <w:rsid w:val="0003462E"/>
    <w:rsid w:val="00034E2E"/>
    <w:rsid w:val="000350D2"/>
    <w:rsid w:val="00036982"/>
    <w:rsid w:val="000372BB"/>
    <w:rsid w:val="000404DF"/>
    <w:rsid w:val="00040F25"/>
    <w:rsid w:val="0004115C"/>
    <w:rsid w:val="00041A12"/>
    <w:rsid w:val="00041BE7"/>
    <w:rsid w:val="0004234D"/>
    <w:rsid w:val="00042B06"/>
    <w:rsid w:val="00042C05"/>
    <w:rsid w:val="000441AE"/>
    <w:rsid w:val="000442CA"/>
    <w:rsid w:val="00044710"/>
    <w:rsid w:val="0004497C"/>
    <w:rsid w:val="00044CBD"/>
    <w:rsid w:val="00046763"/>
    <w:rsid w:val="00047FD3"/>
    <w:rsid w:val="000503E1"/>
    <w:rsid w:val="0005155A"/>
    <w:rsid w:val="00051A9B"/>
    <w:rsid w:val="00051CC7"/>
    <w:rsid w:val="0005300C"/>
    <w:rsid w:val="0005377C"/>
    <w:rsid w:val="00054B70"/>
    <w:rsid w:val="00054FB9"/>
    <w:rsid w:val="0005687F"/>
    <w:rsid w:val="000573AD"/>
    <w:rsid w:val="000578F6"/>
    <w:rsid w:val="00057B97"/>
    <w:rsid w:val="00057FE5"/>
    <w:rsid w:val="00060051"/>
    <w:rsid w:val="0006182B"/>
    <w:rsid w:val="00062349"/>
    <w:rsid w:val="000624BB"/>
    <w:rsid w:val="00062D48"/>
    <w:rsid w:val="00063164"/>
    <w:rsid w:val="0006392A"/>
    <w:rsid w:val="000640DF"/>
    <w:rsid w:val="000654B1"/>
    <w:rsid w:val="000666AD"/>
    <w:rsid w:val="00067F31"/>
    <w:rsid w:val="00070051"/>
    <w:rsid w:val="0007151E"/>
    <w:rsid w:val="00071A05"/>
    <w:rsid w:val="00071CA4"/>
    <w:rsid w:val="00072123"/>
    <w:rsid w:val="000747EB"/>
    <w:rsid w:val="00075160"/>
    <w:rsid w:val="00076BD2"/>
    <w:rsid w:val="00076FE9"/>
    <w:rsid w:val="000777C8"/>
    <w:rsid w:val="00081931"/>
    <w:rsid w:val="000823D4"/>
    <w:rsid w:val="00082529"/>
    <w:rsid w:val="00082F49"/>
    <w:rsid w:val="00083771"/>
    <w:rsid w:val="0008399D"/>
    <w:rsid w:val="00085128"/>
    <w:rsid w:val="00085444"/>
    <w:rsid w:val="00085731"/>
    <w:rsid w:val="000871AD"/>
    <w:rsid w:val="000903E8"/>
    <w:rsid w:val="00091887"/>
    <w:rsid w:val="00092CAC"/>
    <w:rsid w:val="000936AF"/>
    <w:rsid w:val="00093B02"/>
    <w:rsid w:val="00093B8B"/>
    <w:rsid w:val="0009506B"/>
    <w:rsid w:val="00095C97"/>
    <w:rsid w:val="00096053"/>
    <w:rsid w:val="000962F0"/>
    <w:rsid w:val="00096413"/>
    <w:rsid w:val="0009687C"/>
    <w:rsid w:val="000A05B2"/>
    <w:rsid w:val="000A156D"/>
    <w:rsid w:val="000A1A6C"/>
    <w:rsid w:val="000A3FE3"/>
    <w:rsid w:val="000A4395"/>
    <w:rsid w:val="000A5C93"/>
    <w:rsid w:val="000A63F8"/>
    <w:rsid w:val="000A7132"/>
    <w:rsid w:val="000B16C5"/>
    <w:rsid w:val="000B2125"/>
    <w:rsid w:val="000B25C8"/>
    <w:rsid w:val="000B3C49"/>
    <w:rsid w:val="000B3F1A"/>
    <w:rsid w:val="000B4ABE"/>
    <w:rsid w:val="000B4F7D"/>
    <w:rsid w:val="000B5E8D"/>
    <w:rsid w:val="000B773E"/>
    <w:rsid w:val="000C067B"/>
    <w:rsid w:val="000C1FBD"/>
    <w:rsid w:val="000C2505"/>
    <w:rsid w:val="000C309F"/>
    <w:rsid w:val="000C330F"/>
    <w:rsid w:val="000C397A"/>
    <w:rsid w:val="000C4A47"/>
    <w:rsid w:val="000C4E38"/>
    <w:rsid w:val="000C4ED1"/>
    <w:rsid w:val="000C5DE3"/>
    <w:rsid w:val="000D0801"/>
    <w:rsid w:val="000D11AE"/>
    <w:rsid w:val="000D1962"/>
    <w:rsid w:val="000D1BEC"/>
    <w:rsid w:val="000D1E03"/>
    <w:rsid w:val="000D2835"/>
    <w:rsid w:val="000D3DA1"/>
    <w:rsid w:val="000D4F28"/>
    <w:rsid w:val="000D5376"/>
    <w:rsid w:val="000D5C31"/>
    <w:rsid w:val="000D5F8D"/>
    <w:rsid w:val="000E044E"/>
    <w:rsid w:val="000E0A53"/>
    <w:rsid w:val="000E0B0E"/>
    <w:rsid w:val="000E0BDA"/>
    <w:rsid w:val="000E0F82"/>
    <w:rsid w:val="000E13B1"/>
    <w:rsid w:val="000E208F"/>
    <w:rsid w:val="000E268C"/>
    <w:rsid w:val="000E27C9"/>
    <w:rsid w:val="000E3788"/>
    <w:rsid w:val="000E43CB"/>
    <w:rsid w:val="000E47B1"/>
    <w:rsid w:val="000E4A26"/>
    <w:rsid w:val="000E56D3"/>
    <w:rsid w:val="000E5FCE"/>
    <w:rsid w:val="000E6BF6"/>
    <w:rsid w:val="000F02C3"/>
    <w:rsid w:val="000F0DB6"/>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3454"/>
    <w:rsid w:val="001140AF"/>
    <w:rsid w:val="00114577"/>
    <w:rsid w:val="001161B6"/>
    <w:rsid w:val="00121A17"/>
    <w:rsid w:val="00122CA5"/>
    <w:rsid w:val="0012413D"/>
    <w:rsid w:val="001241F4"/>
    <w:rsid w:val="0012545F"/>
    <w:rsid w:val="00127578"/>
    <w:rsid w:val="0012790C"/>
    <w:rsid w:val="00127969"/>
    <w:rsid w:val="001306D3"/>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206"/>
    <w:rsid w:val="0016673C"/>
    <w:rsid w:val="0016683B"/>
    <w:rsid w:val="001669CF"/>
    <w:rsid w:val="00171CA4"/>
    <w:rsid w:val="001730D0"/>
    <w:rsid w:val="00173428"/>
    <w:rsid w:val="001735EE"/>
    <w:rsid w:val="00174F2B"/>
    <w:rsid w:val="00175C71"/>
    <w:rsid w:val="001767D5"/>
    <w:rsid w:val="00180CCA"/>
    <w:rsid w:val="00183215"/>
    <w:rsid w:val="00183461"/>
    <w:rsid w:val="0018537F"/>
    <w:rsid w:val="001856BA"/>
    <w:rsid w:val="00191E21"/>
    <w:rsid w:val="00192D4A"/>
    <w:rsid w:val="001932D8"/>
    <w:rsid w:val="00195589"/>
    <w:rsid w:val="001A0E6C"/>
    <w:rsid w:val="001A14DD"/>
    <w:rsid w:val="001A18CD"/>
    <w:rsid w:val="001A1939"/>
    <w:rsid w:val="001A245F"/>
    <w:rsid w:val="001A2525"/>
    <w:rsid w:val="001A263D"/>
    <w:rsid w:val="001A32AC"/>
    <w:rsid w:val="001A34E6"/>
    <w:rsid w:val="001A415D"/>
    <w:rsid w:val="001A5C29"/>
    <w:rsid w:val="001A5DA7"/>
    <w:rsid w:val="001A69ED"/>
    <w:rsid w:val="001A7270"/>
    <w:rsid w:val="001A7319"/>
    <w:rsid w:val="001B08D3"/>
    <w:rsid w:val="001B0A8C"/>
    <w:rsid w:val="001B0CFA"/>
    <w:rsid w:val="001B12F3"/>
    <w:rsid w:val="001B142E"/>
    <w:rsid w:val="001B18A2"/>
    <w:rsid w:val="001B3B14"/>
    <w:rsid w:val="001B3E47"/>
    <w:rsid w:val="001B5A9F"/>
    <w:rsid w:val="001B6765"/>
    <w:rsid w:val="001B6FFD"/>
    <w:rsid w:val="001B7FE8"/>
    <w:rsid w:val="001C1259"/>
    <w:rsid w:val="001C1349"/>
    <w:rsid w:val="001C1570"/>
    <w:rsid w:val="001C1639"/>
    <w:rsid w:val="001C1D7A"/>
    <w:rsid w:val="001C290D"/>
    <w:rsid w:val="001C2BC6"/>
    <w:rsid w:val="001C2DC6"/>
    <w:rsid w:val="001C31A6"/>
    <w:rsid w:val="001C36D5"/>
    <w:rsid w:val="001C461C"/>
    <w:rsid w:val="001C52FF"/>
    <w:rsid w:val="001C5945"/>
    <w:rsid w:val="001C59F6"/>
    <w:rsid w:val="001C68E7"/>
    <w:rsid w:val="001C75A4"/>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1B7"/>
    <w:rsid w:val="001F0C89"/>
    <w:rsid w:val="001F1942"/>
    <w:rsid w:val="001F1AF6"/>
    <w:rsid w:val="001F1C80"/>
    <w:rsid w:val="001F223A"/>
    <w:rsid w:val="001F2C61"/>
    <w:rsid w:val="001F36B7"/>
    <w:rsid w:val="001F45A6"/>
    <w:rsid w:val="001F4627"/>
    <w:rsid w:val="001F4761"/>
    <w:rsid w:val="001F611C"/>
    <w:rsid w:val="002000E7"/>
    <w:rsid w:val="00200FE0"/>
    <w:rsid w:val="0020252C"/>
    <w:rsid w:val="00202A03"/>
    <w:rsid w:val="002031E4"/>
    <w:rsid w:val="00203376"/>
    <w:rsid w:val="00203CFD"/>
    <w:rsid w:val="0020466E"/>
    <w:rsid w:val="00205CCB"/>
    <w:rsid w:val="00205EC7"/>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44C"/>
    <w:rsid w:val="002206F4"/>
    <w:rsid w:val="00220D44"/>
    <w:rsid w:val="00222526"/>
    <w:rsid w:val="00223B6A"/>
    <w:rsid w:val="00224162"/>
    <w:rsid w:val="002242F3"/>
    <w:rsid w:val="00225321"/>
    <w:rsid w:val="00225F08"/>
    <w:rsid w:val="002261E5"/>
    <w:rsid w:val="00226D66"/>
    <w:rsid w:val="002300C6"/>
    <w:rsid w:val="00230764"/>
    <w:rsid w:val="00230C64"/>
    <w:rsid w:val="00231C3C"/>
    <w:rsid w:val="00232511"/>
    <w:rsid w:val="00232741"/>
    <w:rsid w:val="00232A7F"/>
    <w:rsid w:val="002336F5"/>
    <w:rsid w:val="00233E8A"/>
    <w:rsid w:val="002354E3"/>
    <w:rsid w:val="0023596C"/>
    <w:rsid w:val="0023604A"/>
    <w:rsid w:val="00236370"/>
    <w:rsid w:val="00236C1E"/>
    <w:rsid w:val="00237289"/>
    <w:rsid w:val="00240704"/>
    <w:rsid w:val="00240840"/>
    <w:rsid w:val="00240892"/>
    <w:rsid w:val="00241405"/>
    <w:rsid w:val="00241ECB"/>
    <w:rsid w:val="0024228C"/>
    <w:rsid w:val="00242364"/>
    <w:rsid w:val="00243510"/>
    <w:rsid w:val="0024364C"/>
    <w:rsid w:val="00243BA7"/>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9BD"/>
    <w:rsid w:val="00267AE3"/>
    <w:rsid w:val="00267C4A"/>
    <w:rsid w:val="0027031D"/>
    <w:rsid w:val="00270F0B"/>
    <w:rsid w:val="002726D3"/>
    <w:rsid w:val="002731EF"/>
    <w:rsid w:val="002738BA"/>
    <w:rsid w:val="0027394C"/>
    <w:rsid w:val="00273A24"/>
    <w:rsid w:val="0027468E"/>
    <w:rsid w:val="00276784"/>
    <w:rsid w:val="002767D0"/>
    <w:rsid w:val="00276EF2"/>
    <w:rsid w:val="00281B8C"/>
    <w:rsid w:val="002824EB"/>
    <w:rsid w:val="002825EF"/>
    <w:rsid w:val="002826DF"/>
    <w:rsid w:val="00282EAC"/>
    <w:rsid w:val="00284474"/>
    <w:rsid w:val="00285120"/>
    <w:rsid w:val="00285153"/>
    <w:rsid w:val="00285357"/>
    <w:rsid w:val="002870F2"/>
    <w:rsid w:val="0028780A"/>
    <w:rsid w:val="00287CBC"/>
    <w:rsid w:val="00287EDA"/>
    <w:rsid w:val="002912A5"/>
    <w:rsid w:val="002912F6"/>
    <w:rsid w:val="00291A38"/>
    <w:rsid w:val="002937B1"/>
    <w:rsid w:val="00294899"/>
    <w:rsid w:val="00294C24"/>
    <w:rsid w:val="00295387"/>
    <w:rsid w:val="00295A95"/>
    <w:rsid w:val="002A0004"/>
    <w:rsid w:val="002A0060"/>
    <w:rsid w:val="002A0B53"/>
    <w:rsid w:val="002A1187"/>
    <w:rsid w:val="002A3753"/>
    <w:rsid w:val="002A4297"/>
    <w:rsid w:val="002A437B"/>
    <w:rsid w:val="002A49E9"/>
    <w:rsid w:val="002A4CBB"/>
    <w:rsid w:val="002A5133"/>
    <w:rsid w:val="002A5C74"/>
    <w:rsid w:val="002A6837"/>
    <w:rsid w:val="002A739F"/>
    <w:rsid w:val="002B0FB5"/>
    <w:rsid w:val="002B1430"/>
    <w:rsid w:val="002B176F"/>
    <w:rsid w:val="002B1867"/>
    <w:rsid w:val="002B26C5"/>
    <w:rsid w:val="002B3B39"/>
    <w:rsid w:val="002B5267"/>
    <w:rsid w:val="002B5F79"/>
    <w:rsid w:val="002B66F4"/>
    <w:rsid w:val="002B6C24"/>
    <w:rsid w:val="002B6F3E"/>
    <w:rsid w:val="002B7527"/>
    <w:rsid w:val="002C060E"/>
    <w:rsid w:val="002C0AC6"/>
    <w:rsid w:val="002C1102"/>
    <w:rsid w:val="002C4C08"/>
    <w:rsid w:val="002C4DF6"/>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6700"/>
    <w:rsid w:val="002E68F6"/>
    <w:rsid w:val="002E7100"/>
    <w:rsid w:val="002E7F32"/>
    <w:rsid w:val="002F1867"/>
    <w:rsid w:val="002F1CF5"/>
    <w:rsid w:val="002F3E02"/>
    <w:rsid w:val="002F4F23"/>
    <w:rsid w:val="002F56FC"/>
    <w:rsid w:val="002F6FBB"/>
    <w:rsid w:val="002F78E7"/>
    <w:rsid w:val="0030007D"/>
    <w:rsid w:val="00300B35"/>
    <w:rsid w:val="003013AB"/>
    <w:rsid w:val="00301739"/>
    <w:rsid w:val="00301B5C"/>
    <w:rsid w:val="003030AD"/>
    <w:rsid w:val="0030344E"/>
    <w:rsid w:val="00303AE3"/>
    <w:rsid w:val="00304270"/>
    <w:rsid w:val="0030489A"/>
    <w:rsid w:val="0030505B"/>
    <w:rsid w:val="00305C9F"/>
    <w:rsid w:val="00306E1C"/>
    <w:rsid w:val="003079A1"/>
    <w:rsid w:val="00307A9F"/>
    <w:rsid w:val="00307AE0"/>
    <w:rsid w:val="0031008E"/>
    <w:rsid w:val="003106DC"/>
    <w:rsid w:val="003130FC"/>
    <w:rsid w:val="00313851"/>
    <w:rsid w:val="0031439A"/>
    <w:rsid w:val="00314EF2"/>
    <w:rsid w:val="00315B8C"/>
    <w:rsid w:val="00316A50"/>
    <w:rsid w:val="00317B5A"/>
    <w:rsid w:val="00317CD3"/>
    <w:rsid w:val="00320989"/>
    <w:rsid w:val="0032158C"/>
    <w:rsid w:val="00321A63"/>
    <w:rsid w:val="00321E10"/>
    <w:rsid w:val="0032221D"/>
    <w:rsid w:val="003229C8"/>
    <w:rsid w:val="0032412E"/>
    <w:rsid w:val="0032506B"/>
    <w:rsid w:val="003252B2"/>
    <w:rsid w:val="00327916"/>
    <w:rsid w:val="003300A8"/>
    <w:rsid w:val="00331A05"/>
    <w:rsid w:val="003327AE"/>
    <w:rsid w:val="003338AB"/>
    <w:rsid w:val="00333BB9"/>
    <w:rsid w:val="00334629"/>
    <w:rsid w:val="003357A8"/>
    <w:rsid w:val="00335E5D"/>
    <w:rsid w:val="00336E01"/>
    <w:rsid w:val="00336EB1"/>
    <w:rsid w:val="0033728C"/>
    <w:rsid w:val="00337C9C"/>
    <w:rsid w:val="00340130"/>
    <w:rsid w:val="003415F3"/>
    <w:rsid w:val="003416BC"/>
    <w:rsid w:val="003418CB"/>
    <w:rsid w:val="00341B07"/>
    <w:rsid w:val="00341B82"/>
    <w:rsid w:val="00341BA3"/>
    <w:rsid w:val="00341EBC"/>
    <w:rsid w:val="0034200D"/>
    <w:rsid w:val="00342691"/>
    <w:rsid w:val="00342BAF"/>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F0E"/>
    <w:rsid w:val="003618DA"/>
    <w:rsid w:val="003619A5"/>
    <w:rsid w:val="00362464"/>
    <w:rsid w:val="00362944"/>
    <w:rsid w:val="00362CBA"/>
    <w:rsid w:val="00362FD6"/>
    <w:rsid w:val="00363541"/>
    <w:rsid w:val="0036529A"/>
    <w:rsid w:val="003652E8"/>
    <w:rsid w:val="003658DB"/>
    <w:rsid w:val="003663F6"/>
    <w:rsid w:val="00366C3F"/>
    <w:rsid w:val="003679B1"/>
    <w:rsid w:val="00367AAB"/>
    <w:rsid w:val="00367BD7"/>
    <w:rsid w:val="00370EF8"/>
    <w:rsid w:val="00370F77"/>
    <w:rsid w:val="0037101F"/>
    <w:rsid w:val="003710DE"/>
    <w:rsid w:val="0037185E"/>
    <w:rsid w:val="00371C1A"/>
    <w:rsid w:val="00372344"/>
    <w:rsid w:val="003723F1"/>
    <w:rsid w:val="003730C1"/>
    <w:rsid w:val="00373209"/>
    <w:rsid w:val="003734D5"/>
    <w:rsid w:val="003734DA"/>
    <w:rsid w:val="00373623"/>
    <w:rsid w:val="00374E46"/>
    <w:rsid w:val="0037549C"/>
    <w:rsid w:val="00375CDA"/>
    <w:rsid w:val="003802D0"/>
    <w:rsid w:val="00380305"/>
    <w:rsid w:val="00380E39"/>
    <w:rsid w:val="00382D2D"/>
    <w:rsid w:val="003839FD"/>
    <w:rsid w:val="00383DE7"/>
    <w:rsid w:val="00384167"/>
    <w:rsid w:val="00386D4C"/>
    <w:rsid w:val="003879FB"/>
    <w:rsid w:val="00391A99"/>
    <w:rsid w:val="00391BBD"/>
    <w:rsid w:val="00392644"/>
    <w:rsid w:val="003931C3"/>
    <w:rsid w:val="00395758"/>
    <w:rsid w:val="00395C9A"/>
    <w:rsid w:val="00395FEE"/>
    <w:rsid w:val="0039670B"/>
    <w:rsid w:val="003970A3"/>
    <w:rsid w:val="003A0811"/>
    <w:rsid w:val="003A095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B1332"/>
    <w:rsid w:val="003B15B9"/>
    <w:rsid w:val="003B1BE2"/>
    <w:rsid w:val="003B2077"/>
    <w:rsid w:val="003B2475"/>
    <w:rsid w:val="003B2478"/>
    <w:rsid w:val="003B4FB4"/>
    <w:rsid w:val="003B54FD"/>
    <w:rsid w:val="003B5A7C"/>
    <w:rsid w:val="003B705D"/>
    <w:rsid w:val="003B7B85"/>
    <w:rsid w:val="003C14B0"/>
    <w:rsid w:val="003C170A"/>
    <w:rsid w:val="003C1AFA"/>
    <w:rsid w:val="003C360B"/>
    <w:rsid w:val="003C4160"/>
    <w:rsid w:val="003C443F"/>
    <w:rsid w:val="003C4E8A"/>
    <w:rsid w:val="003C5604"/>
    <w:rsid w:val="003C6B01"/>
    <w:rsid w:val="003C6D97"/>
    <w:rsid w:val="003C7A3C"/>
    <w:rsid w:val="003C7EB4"/>
    <w:rsid w:val="003D01BE"/>
    <w:rsid w:val="003D0616"/>
    <w:rsid w:val="003D108B"/>
    <w:rsid w:val="003D1128"/>
    <w:rsid w:val="003D1557"/>
    <w:rsid w:val="003D1B42"/>
    <w:rsid w:val="003D21DA"/>
    <w:rsid w:val="003D2617"/>
    <w:rsid w:val="003D3800"/>
    <w:rsid w:val="003D3CAE"/>
    <w:rsid w:val="003D3D97"/>
    <w:rsid w:val="003D4175"/>
    <w:rsid w:val="003D4927"/>
    <w:rsid w:val="003D4C4F"/>
    <w:rsid w:val="003D5377"/>
    <w:rsid w:val="003D54A5"/>
    <w:rsid w:val="003D5C44"/>
    <w:rsid w:val="003D5E43"/>
    <w:rsid w:val="003D5F84"/>
    <w:rsid w:val="003E1E81"/>
    <w:rsid w:val="003E227B"/>
    <w:rsid w:val="003E3524"/>
    <w:rsid w:val="003E4895"/>
    <w:rsid w:val="003E4C87"/>
    <w:rsid w:val="003E505D"/>
    <w:rsid w:val="003E64B7"/>
    <w:rsid w:val="003E66C9"/>
    <w:rsid w:val="003E772F"/>
    <w:rsid w:val="003E7C7B"/>
    <w:rsid w:val="003F02D1"/>
    <w:rsid w:val="003F0533"/>
    <w:rsid w:val="003F06ED"/>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4CFC"/>
    <w:rsid w:val="004061C6"/>
    <w:rsid w:val="00406C4D"/>
    <w:rsid w:val="00407BE4"/>
    <w:rsid w:val="0041115A"/>
    <w:rsid w:val="00411CC7"/>
    <w:rsid w:val="00411E78"/>
    <w:rsid w:val="004128B6"/>
    <w:rsid w:val="00412C70"/>
    <w:rsid w:val="00412D88"/>
    <w:rsid w:val="00413E15"/>
    <w:rsid w:val="0041494A"/>
    <w:rsid w:val="00414F2E"/>
    <w:rsid w:val="00416778"/>
    <w:rsid w:val="00416B4C"/>
    <w:rsid w:val="00417710"/>
    <w:rsid w:val="004216A5"/>
    <w:rsid w:val="004219D0"/>
    <w:rsid w:val="00422220"/>
    <w:rsid w:val="00422996"/>
    <w:rsid w:val="00422C2B"/>
    <w:rsid w:val="0042318F"/>
    <w:rsid w:val="00423458"/>
    <w:rsid w:val="00426492"/>
    <w:rsid w:val="00426D87"/>
    <w:rsid w:val="00430E77"/>
    <w:rsid w:val="0043202C"/>
    <w:rsid w:val="004322E6"/>
    <w:rsid w:val="00434293"/>
    <w:rsid w:val="00435924"/>
    <w:rsid w:val="00435A85"/>
    <w:rsid w:val="00435E98"/>
    <w:rsid w:val="004361B4"/>
    <w:rsid w:val="00436B62"/>
    <w:rsid w:val="00440EB3"/>
    <w:rsid w:val="00441D87"/>
    <w:rsid w:val="00441F5B"/>
    <w:rsid w:val="004423EB"/>
    <w:rsid w:val="00442589"/>
    <w:rsid w:val="00444364"/>
    <w:rsid w:val="00445DB3"/>
    <w:rsid w:val="004463E9"/>
    <w:rsid w:val="004469F9"/>
    <w:rsid w:val="00446C1B"/>
    <w:rsid w:val="00447956"/>
    <w:rsid w:val="00452B9B"/>
    <w:rsid w:val="00452C54"/>
    <w:rsid w:val="00454FDE"/>
    <w:rsid w:val="004557DE"/>
    <w:rsid w:val="00456149"/>
    <w:rsid w:val="00456756"/>
    <w:rsid w:val="00456D79"/>
    <w:rsid w:val="00457153"/>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27BC"/>
    <w:rsid w:val="00474B92"/>
    <w:rsid w:val="00474F20"/>
    <w:rsid w:val="0047539A"/>
    <w:rsid w:val="0047594D"/>
    <w:rsid w:val="0047760A"/>
    <w:rsid w:val="00480629"/>
    <w:rsid w:val="0048320D"/>
    <w:rsid w:val="00483D1E"/>
    <w:rsid w:val="00484C83"/>
    <w:rsid w:val="004851AE"/>
    <w:rsid w:val="0048586E"/>
    <w:rsid w:val="004862F6"/>
    <w:rsid w:val="00486939"/>
    <w:rsid w:val="00491A07"/>
    <w:rsid w:val="004920AB"/>
    <w:rsid w:val="00492175"/>
    <w:rsid w:val="00493204"/>
    <w:rsid w:val="00493947"/>
    <w:rsid w:val="00493E9A"/>
    <w:rsid w:val="0049533E"/>
    <w:rsid w:val="004961B4"/>
    <w:rsid w:val="00496601"/>
    <w:rsid w:val="00496A02"/>
    <w:rsid w:val="004A081D"/>
    <w:rsid w:val="004A4359"/>
    <w:rsid w:val="004A60E1"/>
    <w:rsid w:val="004B0F0E"/>
    <w:rsid w:val="004B100D"/>
    <w:rsid w:val="004B14C2"/>
    <w:rsid w:val="004B177B"/>
    <w:rsid w:val="004B1BAF"/>
    <w:rsid w:val="004B1DD1"/>
    <w:rsid w:val="004B1E9F"/>
    <w:rsid w:val="004B369C"/>
    <w:rsid w:val="004B3CA9"/>
    <w:rsid w:val="004B3EEA"/>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C7925"/>
    <w:rsid w:val="004D014F"/>
    <w:rsid w:val="004D0907"/>
    <w:rsid w:val="004D0B85"/>
    <w:rsid w:val="004D1E0E"/>
    <w:rsid w:val="004D2072"/>
    <w:rsid w:val="004D2842"/>
    <w:rsid w:val="004D2EF8"/>
    <w:rsid w:val="004D3516"/>
    <w:rsid w:val="004D4074"/>
    <w:rsid w:val="004D5CD0"/>
    <w:rsid w:val="004D606A"/>
    <w:rsid w:val="004D6494"/>
    <w:rsid w:val="004D73C1"/>
    <w:rsid w:val="004D767E"/>
    <w:rsid w:val="004D76AC"/>
    <w:rsid w:val="004D7C56"/>
    <w:rsid w:val="004D7D4C"/>
    <w:rsid w:val="004D7F05"/>
    <w:rsid w:val="004E031B"/>
    <w:rsid w:val="004E04CA"/>
    <w:rsid w:val="004E251E"/>
    <w:rsid w:val="004E3A07"/>
    <w:rsid w:val="004E3AF3"/>
    <w:rsid w:val="004E3CA9"/>
    <w:rsid w:val="004E4DED"/>
    <w:rsid w:val="004E615B"/>
    <w:rsid w:val="004E7926"/>
    <w:rsid w:val="004E7B37"/>
    <w:rsid w:val="004F063A"/>
    <w:rsid w:val="004F0907"/>
    <w:rsid w:val="004F0B3B"/>
    <w:rsid w:val="004F0C04"/>
    <w:rsid w:val="004F16C1"/>
    <w:rsid w:val="004F29FB"/>
    <w:rsid w:val="004F3435"/>
    <w:rsid w:val="004F44C2"/>
    <w:rsid w:val="004F47F7"/>
    <w:rsid w:val="004F4F7A"/>
    <w:rsid w:val="004F5225"/>
    <w:rsid w:val="004F629F"/>
    <w:rsid w:val="004F653B"/>
    <w:rsid w:val="004F6672"/>
    <w:rsid w:val="004F78E3"/>
    <w:rsid w:val="00501135"/>
    <w:rsid w:val="0050150A"/>
    <w:rsid w:val="00502BBC"/>
    <w:rsid w:val="005038DF"/>
    <w:rsid w:val="00503D56"/>
    <w:rsid w:val="005047AC"/>
    <w:rsid w:val="00504D45"/>
    <w:rsid w:val="00505070"/>
    <w:rsid w:val="00505D65"/>
    <w:rsid w:val="005060F7"/>
    <w:rsid w:val="005061BD"/>
    <w:rsid w:val="00506826"/>
    <w:rsid w:val="00506F4F"/>
    <w:rsid w:val="00507D9D"/>
    <w:rsid w:val="0051030B"/>
    <w:rsid w:val="00510427"/>
    <w:rsid w:val="00510E7E"/>
    <w:rsid w:val="00511020"/>
    <w:rsid w:val="00511979"/>
    <w:rsid w:val="0051272F"/>
    <w:rsid w:val="00512845"/>
    <w:rsid w:val="00513F5D"/>
    <w:rsid w:val="0051416D"/>
    <w:rsid w:val="00515137"/>
    <w:rsid w:val="00515642"/>
    <w:rsid w:val="005163DB"/>
    <w:rsid w:val="00517C6F"/>
    <w:rsid w:val="005209DB"/>
    <w:rsid w:val="005212A1"/>
    <w:rsid w:val="005217B4"/>
    <w:rsid w:val="00522272"/>
    <w:rsid w:val="00524335"/>
    <w:rsid w:val="00524526"/>
    <w:rsid w:val="00525693"/>
    <w:rsid w:val="00525D94"/>
    <w:rsid w:val="00526537"/>
    <w:rsid w:val="0052662A"/>
    <w:rsid w:val="005277EF"/>
    <w:rsid w:val="00531D3A"/>
    <w:rsid w:val="0053303B"/>
    <w:rsid w:val="00533923"/>
    <w:rsid w:val="00533DB1"/>
    <w:rsid w:val="0053475F"/>
    <w:rsid w:val="00534859"/>
    <w:rsid w:val="00535509"/>
    <w:rsid w:val="00535615"/>
    <w:rsid w:val="00536C4E"/>
    <w:rsid w:val="00536D50"/>
    <w:rsid w:val="00537C7C"/>
    <w:rsid w:val="00537EA0"/>
    <w:rsid w:val="0054227E"/>
    <w:rsid w:val="005422C0"/>
    <w:rsid w:val="00544C5D"/>
    <w:rsid w:val="00545AE2"/>
    <w:rsid w:val="00546E30"/>
    <w:rsid w:val="005475C5"/>
    <w:rsid w:val="00550562"/>
    <w:rsid w:val="005522F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18AB"/>
    <w:rsid w:val="00571C0D"/>
    <w:rsid w:val="00572C51"/>
    <w:rsid w:val="00574AB5"/>
    <w:rsid w:val="00574DDA"/>
    <w:rsid w:val="0057558D"/>
    <w:rsid w:val="00576EB6"/>
    <w:rsid w:val="00577FBD"/>
    <w:rsid w:val="00580121"/>
    <w:rsid w:val="00580E02"/>
    <w:rsid w:val="00581906"/>
    <w:rsid w:val="005822B3"/>
    <w:rsid w:val="00583016"/>
    <w:rsid w:val="005830B2"/>
    <w:rsid w:val="00583AB0"/>
    <w:rsid w:val="00583EC3"/>
    <w:rsid w:val="0058495C"/>
    <w:rsid w:val="005855DF"/>
    <w:rsid w:val="00585C2F"/>
    <w:rsid w:val="00586F5F"/>
    <w:rsid w:val="00587222"/>
    <w:rsid w:val="00587B22"/>
    <w:rsid w:val="00587B7C"/>
    <w:rsid w:val="005916A6"/>
    <w:rsid w:val="005919CE"/>
    <w:rsid w:val="00591CE2"/>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BFF"/>
    <w:rsid w:val="005A65E8"/>
    <w:rsid w:val="005A6FD8"/>
    <w:rsid w:val="005A72D8"/>
    <w:rsid w:val="005A7695"/>
    <w:rsid w:val="005B038F"/>
    <w:rsid w:val="005B3024"/>
    <w:rsid w:val="005B43B7"/>
    <w:rsid w:val="005B4C8D"/>
    <w:rsid w:val="005B5448"/>
    <w:rsid w:val="005B6E84"/>
    <w:rsid w:val="005C0627"/>
    <w:rsid w:val="005C1208"/>
    <w:rsid w:val="005C4073"/>
    <w:rsid w:val="005C4A3E"/>
    <w:rsid w:val="005C4CE0"/>
    <w:rsid w:val="005C5A05"/>
    <w:rsid w:val="005C5BE1"/>
    <w:rsid w:val="005C6484"/>
    <w:rsid w:val="005C6CD5"/>
    <w:rsid w:val="005C7352"/>
    <w:rsid w:val="005C7C04"/>
    <w:rsid w:val="005D118C"/>
    <w:rsid w:val="005D1409"/>
    <w:rsid w:val="005D184A"/>
    <w:rsid w:val="005D1CE6"/>
    <w:rsid w:val="005D1CFC"/>
    <w:rsid w:val="005D340C"/>
    <w:rsid w:val="005D3EE7"/>
    <w:rsid w:val="005D4836"/>
    <w:rsid w:val="005D4BED"/>
    <w:rsid w:val="005D5A06"/>
    <w:rsid w:val="005D61BA"/>
    <w:rsid w:val="005D7158"/>
    <w:rsid w:val="005D741B"/>
    <w:rsid w:val="005E28B5"/>
    <w:rsid w:val="005E28BD"/>
    <w:rsid w:val="005E30EB"/>
    <w:rsid w:val="005E5034"/>
    <w:rsid w:val="005E5125"/>
    <w:rsid w:val="005E51D2"/>
    <w:rsid w:val="005E5946"/>
    <w:rsid w:val="005E5E4B"/>
    <w:rsid w:val="005E68AB"/>
    <w:rsid w:val="005E6B80"/>
    <w:rsid w:val="005E7F8B"/>
    <w:rsid w:val="005F134E"/>
    <w:rsid w:val="005F1C58"/>
    <w:rsid w:val="005F1D33"/>
    <w:rsid w:val="005F34CF"/>
    <w:rsid w:val="005F6E31"/>
    <w:rsid w:val="005F6F92"/>
    <w:rsid w:val="006003BF"/>
    <w:rsid w:val="0060083E"/>
    <w:rsid w:val="00600B73"/>
    <w:rsid w:val="00601061"/>
    <w:rsid w:val="00601259"/>
    <w:rsid w:val="006013C6"/>
    <w:rsid w:val="00601834"/>
    <w:rsid w:val="00602533"/>
    <w:rsid w:val="00603CED"/>
    <w:rsid w:val="00604237"/>
    <w:rsid w:val="0060589A"/>
    <w:rsid w:val="00605E40"/>
    <w:rsid w:val="00605E56"/>
    <w:rsid w:val="0060678C"/>
    <w:rsid w:val="00606C73"/>
    <w:rsid w:val="006071AA"/>
    <w:rsid w:val="0060722C"/>
    <w:rsid w:val="006075CE"/>
    <w:rsid w:val="0060786B"/>
    <w:rsid w:val="006079DF"/>
    <w:rsid w:val="006103E2"/>
    <w:rsid w:val="00611853"/>
    <w:rsid w:val="00611B2D"/>
    <w:rsid w:val="00615165"/>
    <w:rsid w:val="00615872"/>
    <w:rsid w:val="00615D76"/>
    <w:rsid w:val="00616B74"/>
    <w:rsid w:val="00617344"/>
    <w:rsid w:val="006204BA"/>
    <w:rsid w:val="00620E77"/>
    <w:rsid w:val="0062109E"/>
    <w:rsid w:val="00621FEE"/>
    <w:rsid w:val="00622C40"/>
    <w:rsid w:val="006231A8"/>
    <w:rsid w:val="00623483"/>
    <w:rsid w:val="00623766"/>
    <w:rsid w:val="00623861"/>
    <w:rsid w:val="0062530F"/>
    <w:rsid w:val="00625333"/>
    <w:rsid w:val="00625804"/>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357"/>
    <w:rsid w:val="00644B1D"/>
    <w:rsid w:val="00644C99"/>
    <w:rsid w:val="00644FEE"/>
    <w:rsid w:val="0064585D"/>
    <w:rsid w:val="00646D09"/>
    <w:rsid w:val="00647550"/>
    <w:rsid w:val="00650B30"/>
    <w:rsid w:val="00650D78"/>
    <w:rsid w:val="00651E09"/>
    <w:rsid w:val="00652119"/>
    <w:rsid w:val="0065231A"/>
    <w:rsid w:val="006528E4"/>
    <w:rsid w:val="00652914"/>
    <w:rsid w:val="006531BA"/>
    <w:rsid w:val="00655FA4"/>
    <w:rsid w:val="00656EA8"/>
    <w:rsid w:val="00656ECF"/>
    <w:rsid w:val="00662E3B"/>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80BD6"/>
    <w:rsid w:val="0068144F"/>
    <w:rsid w:val="00681480"/>
    <w:rsid w:val="00681C34"/>
    <w:rsid w:val="006836EC"/>
    <w:rsid w:val="00683912"/>
    <w:rsid w:val="0068403D"/>
    <w:rsid w:val="0068412C"/>
    <w:rsid w:val="00684CFE"/>
    <w:rsid w:val="006851BF"/>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B35"/>
    <w:rsid w:val="00695D86"/>
    <w:rsid w:val="006961A0"/>
    <w:rsid w:val="006963C7"/>
    <w:rsid w:val="00696644"/>
    <w:rsid w:val="00696EA4"/>
    <w:rsid w:val="00697AC9"/>
    <w:rsid w:val="006A029B"/>
    <w:rsid w:val="006A0336"/>
    <w:rsid w:val="006A03A8"/>
    <w:rsid w:val="006A05B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5368"/>
    <w:rsid w:val="006B5753"/>
    <w:rsid w:val="006B63CA"/>
    <w:rsid w:val="006B6537"/>
    <w:rsid w:val="006B7229"/>
    <w:rsid w:val="006B75CB"/>
    <w:rsid w:val="006B75EE"/>
    <w:rsid w:val="006C114D"/>
    <w:rsid w:val="006C182D"/>
    <w:rsid w:val="006C215A"/>
    <w:rsid w:val="006C2523"/>
    <w:rsid w:val="006C35B6"/>
    <w:rsid w:val="006C5752"/>
    <w:rsid w:val="006C6824"/>
    <w:rsid w:val="006C70D7"/>
    <w:rsid w:val="006C7319"/>
    <w:rsid w:val="006D0276"/>
    <w:rsid w:val="006D0438"/>
    <w:rsid w:val="006D04E2"/>
    <w:rsid w:val="006D1413"/>
    <w:rsid w:val="006D1B9F"/>
    <w:rsid w:val="006D28B5"/>
    <w:rsid w:val="006D29D1"/>
    <w:rsid w:val="006D372A"/>
    <w:rsid w:val="006D5353"/>
    <w:rsid w:val="006D5701"/>
    <w:rsid w:val="006D5B31"/>
    <w:rsid w:val="006D67FC"/>
    <w:rsid w:val="006D692A"/>
    <w:rsid w:val="006D6D4F"/>
    <w:rsid w:val="006D706E"/>
    <w:rsid w:val="006D73C9"/>
    <w:rsid w:val="006D7EC7"/>
    <w:rsid w:val="006E096C"/>
    <w:rsid w:val="006E1004"/>
    <w:rsid w:val="006E1435"/>
    <w:rsid w:val="006E2116"/>
    <w:rsid w:val="006E2582"/>
    <w:rsid w:val="006E39D1"/>
    <w:rsid w:val="006E3C46"/>
    <w:rsid w:val="006E3F93"/>
    <w:rsid w:val="006E5358"/>
    <w:rsid w:val="006E5478"/>
    <w:rsid w:val="006E56E7"/>
    <w:rsid w:val="006E580D"/>
    <w:rsid w:val="006E5F5F"/>
    <w:rsid w:val="006E72BF"/>
    <w:rsid w:val="006F02DD"/>
    <w:rsid w:val="006F04A3"/>
    <w:rsid w:val="006F1403"/>
    <w:rsid w:val="006F1C2E"/>
    <w:rsid w:val="006F1D66"/>
    <w:rsid w:val="006F233F"/>
    <w:rsid w:val="006F276A"/>
    <w:rsid w:val="006F27A4"/>
    <w:rsid w:val="006F2A9C"/>
    <w:rsid w:val="006F4A20"/>
    <w:rsid w:val="006F5446"/>
    <w:rsid w:val="006F6519"/>
    <w:rsid w:val="006F6DDB"/>
    <w:rsid w:val="006F753C"/>
    <w:rsid w:val="007029C3"/>
    <w:rsid w:val="00704FD6"/>
    <w:rsid w:val="00707A39"/>
    <w:rsid w:val="0071034A"/>
    <w:rsid w:val="0071155F"/>
    <w:rsid w:val="0071217C"/>
    <w:rsid w:val="0071222C"/>
    <w:rsid w:val="00712465"/>
    <w:rsid w:val="00712ACD"/>
    <w:rsid w:val="00712C8D"/>
    <w:rsid w:val="007148B1"/>
    <w:rsid w:val="00716323"/>
    <w:rsid w:val="00717778"/>
    <w:rsid w:val="00717EEF"/>
    <w:rsid w:val="00720219"/>
    <w:rsid w:val="007207B5"/>
    <w:rsid w:val="00721B09"/>
    <w:rsid w:val="00721FCC"/>
    <w:rsid w:val="0072231F"/>
    <w:rsid w:val="00722873"/>
    <w:rsid w:val="00722C76"/>
    <w:rsid w:val="007231C5"/>
    <w:rsid w:val="00724259"/>
    <w:rsid w:val="00724453"/>
    <w:rsid w:val="00724D79"/>
    <w:rsid w:val="00724F48"/>
    <w:rsid w:val="00725161"/>
    <w:rsid w:val="007254CC"/>
    <w:rsid w:val="00725EBA"/>
    <w:rsid w:val="00726112"/>
    <w:rsid w:val="00726222"/>
    <w:rsid w:val="0072660A"/>
    <w:rsid w:val="00726925"/>
    <w:rsid w:val="00732592"/>
    <w:rsid w:val="0073298C"/>
    <w:rsid w:val="00732A5E"/>
    <w:rsid w:val="00733F48"/>
    <w:rsid w:val="00734448"/>
    <w:rsid w:val="00734A32"/>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42A9"/>
    <w:rsid w:val="00745F46"/>
    <w:rsid w:val="00750327"/>
    <w:rsid w:val="00751804"/>
    <w:rsid w:val="00751AC8"/>
    <w:rsid w:val="00752266"/>
    <w:rsid w:val="00753014"/>
    <w:rsid w:val="0075471C"/>
    <w:rsid w:val="007548C2"/>
    <w:rsid w:val="00754CA6"/>
    <w:rsid w:val="007556FE"/>
    <w:rsid w:val="00756CF3"/>
    <w:rsid w:val="007577E1"/>
    <w:rsid w:val="0076018D"/>
    <w:rsid w:val="007606DF"/>
    <w:rsid w:val="00760F24"/>
    <w:rsid w:val="00761E7D"/>
    <w:rsid w:val="007647B6"/>
    <w:rsid w:val="00766BE1"/>
    <w:rsid w:val="007677A8"/>
    <w:rsid w:val="00767CC7"/>
    <w:rsid w:val="0077008F"/>
    <w:rsid w:val="00771D87"/>
    <w:rsid w:val="00775840"/>
    <w:rsid w:val="00776629"/>
    <w:rsid w:val="00776940"/>
    <w:rsid w:val="00777147"/>
    <w:rsid w:val="00777418"/>
    <w:rsid w:val="00777889"/>
    <w:rsid w:val="0078017C"/>
    <w:rsid w:val="007805AB"/>
    <w:rsid w:val="00781DAB"/>
    <w:rsid w:val="0078226D"/>
    <w:rsid w:val="00783BFC"/>
    <w:rsid w:val="00784198"/>
    <w:rsid w:val="007844F5"/>
    <w:rsid w:val="007866DF"/>
    <w:rsid w:val="0079087F"/>
    <w:rsid w:val="00790C62"/>
    <w:rsid w:val="00790F60"/>
    <w:rsid w:val="007914C5"/>
    <w:rsid w:val="007917BC"/>
    <w:rsid w:val="00791D61"/>
    <w:rsid w:val="00792428"/>
    <w:rsid w:val="00792469"/>
    <w:rsid w:val="00792750"/>
    <w:rsid w:val="0079317C"/>
    <w:rsid w:val="007949B2"/>
    <w:rsid w:val="007953EF"/>
    <w:rsid w:val="00795832"/>
    <w:rsid w:val="0079625E"/>
    <w:rsid w:val="00796371"/>
    <w:rsid w:val="00796D20"/>
    <w:rsid w:val="00797365"/>
    <w:rsid w:val="0079785E"/>
    <w:rsid w:val="00797BBD"/>
    <w:rsid w:val="007A009A"/>
    <w:rsid w:val="007A0F7C"/>
    <w:rsid w:val="007A11DC"/>
    <w:rsid w:val="007A1E03"/>
    <w:rsid w:val="007A2969"/>
    <w:rsid w:val="007A2C30"/>
    <w:rsid w:val="007A2F15"/>
    <w:rsid w:val="007A4690"/>
    <w:rsid w:val="007A57BD"/>
    <w:rsid w:val="007A5FEA"/>
    <w:rsid w:val="007A6AC1"/>
    <w:rsid w:val="007A6E82"/>
    <w:rsid w:val="007A7457"/>
    <w:rsid w:val="007A7ADE"/>
    <w:rsid w:val="007B04B3"/>
    <w:rsid w:val="007B0DFD"/>
    <w:rsid w:val="007B2BA8"/>
    <w:rsid w:val="007B72EC"/>
    <w:rsid w:val="007B7942"/>
    <w:rsid w:val="007C295F"/>
    <w:rsid w:val="007C324C"/>
    <w:rsid w:val="007C4780"/>
    <w:rsid w:val="007C53E7"/>
    <w:rsid w:val="007C5494"/>
    <w:rsid w:val="007C5EEC"/>
    <w:rsid w:val="007C67BB"/>
    <w:rsid w:val="007C7785"/>
    <w:rsid w:val="007C7CC3"/>
    <w:rsid w:val="007D090E"/>
    <w:rsid w:val="007D0C6C"/>
    <w:rsid w:val="007D1721"/>
    <w:rsid w:val="007D1AA4"/>
    <w:rsid w:val="007D2C14"/>
    <w:rsid w:val="007D2FD4"/>
    <w:rsid w:val="007D3636"/>
    <w:rsid w:val="007D3CA2"/>
    <w:rsid w:val="007D41E9"/>
    <w:rsid w:val="007D4CD6"/>
    <w:rsid w:val="007D6B1D"/>
    <w:rsid w:val="007D6CDD"/>
    <w:rsid w:val="007E19A6"/>
    <w:rsid w:val="007E1DFA"/>
    <w:rsid w:val="007E23BE"/>
    <w:rsid w:val="007E2924"/>
    <w:rsid w:val="007E3F51"/>
    <w:rsid w:val="007E4B76"/>
    <w:rsid w:val="007E4D2F"/>
    <w:rsid w:val="007E5655"/>
    <w:rsid w:val="007E5717"/>
    <w:rsid w:val="007E5D67"/>
    <w:rsid w:val="007E6C3A"/>
    <w:rsid w:val="007F008C"/>
    <w:rsid w:val="007F0203"/>
    <w:rsid w:val="007F02AD"/>
    <w:rsid w:val="007F19BE"/>
    <w:rsid w:val="007F3594"/>
    <w:rsid w:val="007F3C72"/>
    <w:rsid w:val="007F4062"/>
    <w:rsid w:val="007F41D7"/>
    <w:rsid w:val="007F43A9"/>
    <w:rsid w:val="007F4E3A"/>
    <w:rsid w:val="007F669C"/>
    <w:rsid w:val="007F7866"/>
    <w:rsid w:val="008001BB"/>
    <w:rsid w:val="00800337"/>
    <w:rsid w:val="008006A3"/>
    <w:rsid w:val="008017C6"/>
    <w:rsid w:val="00801FA5"/>
    <w:rsid w:val="00802D10"/>
    <w:rsid w:val="008047CA"/>
    <w:rsid w:val="00805A17"/>
    <w:rsid w:val="00805AD4"/>
    <w:rsid w:val="00807191"/>
    <w:rsid w:val="00807969"/>
    <w:rsid w:val="00810E1A"/>
    <w:rsid w:val="00811BD3"/>
    <w:rsid w:val="00811E26"/>
    <w:rsid w:val="00811F5A"/>
    <w:rsid w:val="00813BEB"/>
    <w:rsid w:val="00813C47"/>
    <w:rsid w:val="00814901"/>
    <w:rsid w:val="00814C20"/>
    <w:rsid w:val="0081500F"/>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49C3"/>
    <w:rsid w:val="00826376"/>
    <w:rsid w:val="0082657A"/>
    <w:rsid w:val="008278B1"/>
    <w:rsid w:val="00830C8D"/>
    <w:rsid w:val="008318B7"/>
    <w:rsid w:val="0083253B"/>
    <w:rsid w:val="008334C0"/>
    <w:rsid w:val="00834D94"/>
    <w:rsid w:val="008355B7"/>
    <w:rsid w:val="008368A4"/>
    <w:rsid w:val="00836C4A"/>
    <w:rsid w:val="00840C8F"/>
    <w:rsid w:val="00841794"/>
    <w:rsid w:val="008430F4"/>
    <w:rsid w:val="00844119"/>
    <w:rsid w:val="00844435"/>
    <w:rsid w:val="00846E07"/>
    <w:rsid w:val="00851788"/>
    <w:rsid w:val="008524F3"/>
    <w:rsid w:val="008536E7"/>
    <w:rsid w:val="0085390F"/>
    <w:rsid w:val="00853D95"/>
    <w:rsid w:val="008547D5"/>
    <w:rsid w:val="00854F03"/>
    <w:rsid w:val="008562E4"/>
    <w:rsid w:val="00856656"/>
    <w:rsid w:val="00856C23"/>
    <w:rsid w:val="00856CDF"/>
    <w:rsid w:val="00856E1B"/>
    <w:rsid w:val="00856E32"/>
    <w:rsid w:val="00856EB0"/>
    <w:rsid w:val="00857200"/>
    <w:rsid w:val="008572D2"/>
    <w:rsid w:val="0086091C"/>
    <w:rsid w:val="00863E8E"/>
    <w:rsid w:val="00865FB7"/>
    <w:rsid w:val="008703FE"/>
    <w:rsid w:val="00870958"/>
    <w:rsid w:val="00870C96"/>
    <w:rsid w:val="00872940"/>
    <w:rsid w:val="00872D89"/>
    <w:rsid w:val="00873681"/>
    <w:rsid w:val="00873916"/>
    <w:rsid w:val="00874694"/>
    <w:rsid w:val="00875F5C"/>
    <w:rsid w:val="00876842"/>
    <w:rsid w:val="0088117B"/>
    <w:rsid w:val="008812F4"/>
    <w:rsid w:val="00881329"/>
    <w:rsid w:val="008813BC"/>
    <w:rsid w:val="008815A0"/>
    <w:rsid w:val="00881C4C"/>
    <w:rsid w:val="0088286F"/>
    <w:rsid w:val="0088297D"/>
    <w:rsid w:val="00882CAD"/>
    <w:rsid w:val="008837B1"/>
    <w:rsid w:val="00883CA9"/>
    <w:rsid w:val="00883CDA"/>
    <w:rsid w:val="0088508C"/>
    <w:rsid w:val="00885E79"/>
    <w:rsid w:val="0088626F"/>
    <w:rsid w:val="00886D76"/>
    <w:rsid w:val="0088785F"/>
    <w:rsid w:val="00887B0D"/>
    <w:rsid w:val="008900C7"/>
    <w:rsid w:val="008901DD"/>
    <w:rsid w:val="00891A0C"/>
    <w:rsid w:val="00891E46"/>
    <w:rsid w:val="00892413"/>
    <w:rsid w:val="008931D2"/>
    <w:rsid w:val="008932D0"/>
    <w:rsid w:val="008933F9"/>
    <w:rsid w:val="00893ADC"/>
    <w:rsid w:val="00893FC9"/>
    <w:rsid w:val="00894C35"/>
    <w:rsid w:val="00896BFA"/>
    <w:rsid w:val="00896FD1"/>
    <w:rsid w:val="00897309"/>
    <w:rsid w:val="008979D0"/>
    <w:rsid w:val="008A1882"/>
    <w:rsid w:val="008A42B2"/>
    <w:rsid w:val="008A4C1D"/>
    <w:rsid w:val="008A511A"/>
    <w:rsid w:val="008A5A9A"/>
    <w:rsid w:val="008A647F"/>
    <w:rsid w:val="008A64C3"/>
    <w:rsid w:val="008A7B13"/>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4259"/>
    <w:rsid w:val="008C4A09"/>
    <w:rsid w:val="008C4EB1"/>
    <w:rsid w:val="008C4F39"/>
    <w:rsid w:val="008C5BAB"/>
    <w:rsid w:val="008C7A1B"/>
    <w:rsid w:val="008D1A9B"/>
    <w:rsid w:val="008D29A1"/>
    <w:rsid w:val="008D347B"/>
    <w:rsid w:val="008D35AA"/>
    <w:rsid w:val="008D38A0"/>
    <w:rsid w:val="008D3D92"/>
    <w:rsid w:val="008D4AE6"/>
    <w:rsid w:val="008D5679"/>
    <w:rsid w:val="008D575D"/>
    <w:rsid w:val="008D5C3A"/>
    <w:rsid w:val="008D6C9A"/>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1B3F"/>
    <w:rsid w:val="008F206A"/>
    <w:rsid w:val="008F30B0"/>
    <w:rsid w:val="008F32EB"/>
    <w:rsid w:val="008F35E5"/>
    <w:rsid w:val="008F597F"/>
    <w:rsid w:val="008F6567"/>
    <w:rsid w:val="008F6B95"/>
    <w:rsid w:val="008F7C58"/>
    <w:rsid w:val="00902129"/>
    <w:rsid w:val="009029E2"/>
    <w:rsid w:val="00902A47"/>
    <w:rsid w:val="00903D73"/>
    <w:rsid w:val="00904514"/>
    <w:rsid w:val="009046E9"/>
    <w:rsid w:val="00905FA7"/>
    <w:rsid w:val="00906EA8"/>
    <w:rsid w:val="00906F61"/>
    <w:rsid w:val="00907CF1"/>
    <w:rsid w:val="009104A9"/>
    <w:rsid w:val="0091148E"/>
    <w:rsid w:val="00912A41"/>
    <w:rsid w:val="009131C9"/>
    <w:rsid w:val="009136C1"/>
    <w:rsid w:val="009141E8"/>
    <w:rsid w:val="0091426C"/>
    <w:rsid w:val="009143B0"/>
    <w:rsid w:val="009146E9"/>
    <w:rsid w:val="00914F91"/>
    <w:rsid w:val="00915088"/>
    <w:rsid w:val="0091679B"/>
    <w:rsid w:val="00920DF9"/>
    <w:rsid w:val="009246DE"/>
    <w:rsid w:val="009247E5"/>
    <w:rsid w:val="009257A9"/>
    <w:rsid w:val="00925BDC"/>
    <w:rsid w:val="009261E2"/>
    <w:rsid w:val="0092720D"/>
    <w:rsid w:val="00927404"/>
    <w:rsid w:val="00927844"/>
    <w:rsid w:val="00932459"/>
    <w:rsid w:val="0093364A"/>
    <w:rsid w:val="00934350"/>
    <w:rsid w:val="00934A1B"/>
    <w:rsid w:val="00937DD6"/>
    <w:rsid w:val="009401BC"/>
    <w:rsid w:val="00940F21"/>
    <w:rsid w:val="00941358"/>
    <w:rsid w:val="00941F14"/>
    <w:rsid w:val="009512FF"/>
    <w:rsid w:val="009520A4"/>
    <w:rsid w:val="0095306B"/>
    <w:rsid w:val="0095327E"/>
    <w:rsid w:val="00953C74"/>
    <w:rsid w:val="00954243"/>
    <w:rsid w:val="00954E7D"/>
    <w:rsid w:val="00955D78"/>
    <w:rsid w:val="009569DF"/>
    <w:rsid w:val="00956FE0"/>
    <w:rsid w:val="00957220"/>
    <w:rsid w:val="00962C81"/>
    <w:rsid w:val="009643CF"/>
    <w:rsid w:val="00964940"/>
    <w:rsid w:val="00965F3E"/>
    <w:rsid w:val="00967136"/>
    <w:rsid w:val="00967166"/>
    <w:rsid w:val="0096776F"/>
    <w:rsid w:val="009701E2"/>
    <w:rsid w:val="00971292"/>
    <w:rsid w:val="009715F3"/>
    <w:rsid w:val="009727E2"/>
    <w:rsid w:val="009736E1"/>
    <w:rsid w:val="0097391D"/>
    <w:rsid w:val="00974CE6"/>
    <w:rsid w:val="0097558C"/>
    <w:rsid w:val="009758CA"/>
    <w:rsid w:val="00975EA7"/>
    <w:rsid w:val="009770B5"/>
    <w:rsid w:val="009774C3"/>
    <w:rsid w:val="009811E3"/>
    <w:rsid w:val="00981490"/>
    <w:rsid w:val="009818C1"/>
    <w:rsid w:val="009826BD"/>
    <w:rsid w:val="0098380F"/>
    <w:rsid w:val="009839EB"/>
    <w:rsid w:val="00983E2D"/>
    <w:rsid w:val="00984B3A"/>
    <w:rsid w:val="00985608"/>
    <w:rsid w:val="00986E49"/>
    <w:rsid w:val="00987340"/>
    <w:rsid w:val="00987470"/>
    <w:rsid w:val="00991723"/>
    <w:rsid w:val="009924EC"/>
    <w:rsid w:val="009928CD"/>
    <w:rsid w:val="00992918"/>
    <w:rsid w:val="009929A1"/>
    <w:rsid w:val="00992A3A"/>
    <w:rsid w:val="00992F87"/>
    <w:rsid w:val="00993C89"/>
    <w:rsid w:val="00994162"/>
    <w:rsid w:val="00994896"/>
    <w:rsid w:val="00997D50"/>
    <w:rsid w:val="00997E99"/>
    <w:rsid w:val="009A11D1"/>
    <w:rsid w:val="009A1A2D"/>
    <w:rsid w:val="009A1C25"/>
    <w:rsid w:val="009A1E81"/>
    <w:rsid w:val="009A318C"/>
    <w:rsid w:val="009A3640"/>
    <w:rsid w:val="009A3D2C"/>
    <w:rsid w:val="009A45E3"/>
    <w:rsid w:val="009A5C8E"/>
    <w:rsid w:val="009A6292"/>
    <w:rsid w:val="009B0AEB"/>
    <w:rsid w:val="009B0B0E"/>
    <w:rsid w:val="009B1FB6"/>
    <w:rsid w:val="009B27F0"/>
    <w:rsid w:val="009B29D1"/>
    <w:rsid w:val="009B2F09"/>
    <w:rsid w:val="009B5D34"/>
    <w:rsid w:val="009B6625"/>
    <w:rsid w:val="009B7E4B"/>
    <w:rsid w:val="009C0F89"/>
    <w:rsid w:val="009C1749"/>
    <w:rsid w:val="009C2265"/>
    <w:rsid w:val="009C2AFB"/>
    <w:rsid w:val="009C31DD"/>
    <w:rsid w:val="009C39DC"/>
    <w:rsid w:val="009C421E"/>
    <w:rsid w:val="009C4FA5"/>
    <w:rsid w:val="009C58BF"/>
    <w:rsid w:val="009C6417"/>
    <w:rsid w:val="009C6F5A"/>
    <w:rsid w:val="009C7051"/>
    <w:rsid w:val="009D0150"/>
    <w:rsid w:val="009D0477"/>
    <w:rsid w:val="009D10C4"/>
    <w:rsid w:val="009D17AF"/>
    <w:rsid w:val="009D2B50"/>
    <w:rsid w:val="009D386E"/>
    <w:rsid w:val="009D38EF"/>
    <w:rsid w:val="009D6F1D"/>
    <w:rsid w:val="009E0189"/>
    <w:rsid w:val="009E1DE6"/>
    <w:rsid w:val="009E394B"/>
    <w:rsid w:val="009E707A"/>
    <w:rsid w:val="009E718D"/>
    <w:rsid w:val="009E7AD6"/>
    <w:rsid w:val="009E7D40"/>
    <w:rsid w:val="009E7E97"/>
    <w:rsid w:val="009F0A08"/>
    <w:rsid w:val="009F16D7"/>
    <w:rsid w:val="009F2814"/>
    <w:rsid w:val="009F2E10"/>
    <w:rsid w:val="009F3C25"/>
    <w:rsid w:val="009F44FC"/>
    <w:rsid w:val="009F540D"/>
    <w:rsid w:val="009F5570"/>
    <w:rsid w:val="009F5FFD"/>
    <w:rsid w:val="009F693E"/>
    <w:rsid w:val="009F6EC1"/>
    <w:rsid w:val="009F739C"/>
    <w:rsid w:val="00A037EB"/>
    <w:rsid w:val="00A04118"/>
    <w:rsid w:val="00A0431C"/>
    <w:rsid w:val="00A04487"/>
    <w:rsid w:val="00A068E2"/>
    <w:rsid w:val="00A07A16"/>
    <w:rsid w:val="00A07C26"/>
    <w:rsid w:val="00A07EFC"/>
    <w:rsid w:val="00A103E3"/>
    <w:rsid w:val="00A104B0"/>
    <w:rsid w:val="00A1305D"/>
    <w:rsid w:val="00A149EA"/>
    <w:rsid w:val="00A14A8E"/>
    <w:rsid w:val="00A150B8"/>
    <w:rsid w:val="00A17049"/>
    <w:rsid w:val="00A20BA3"/>
    <w:rsid w:val="00A20BC9"/>
    <w:rsid w:val="00A21219"/>
    <w:rsid w:val="00A22029"/>
    <w:rsid w:val="00A2273A"/>
    <w:rsid w:val="00A244D9"/>
    <w:rsid w:val="00A252B1"/>
    <w:rsid w:val="00A26326"/>
    <w:rsid w:val="00A265C1"/>
    <w:rsid w:val="00A26AA6"/>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413A"/>
    <w:rsid w:val="00A44F1E"/>
    <w:rsid w:val="00A45879"/>
    <w:rsid w:val="00A45976"/>
    <w:rsid w:val="00A45FD4"/>
    <w:rsid w:val="00A5040A"/>
    <w:rsid w:val="00A50EFE"/>
    <w:rsid w:val="00A511AE"/>
    <w:rsid w:val="00A55098"/>
    <w:rsid w:val="00A56368"/>
    <w:rsid w:val="00A567D8"/>
    <w:rsid w:val="00A575F9"/>
    <w:rsid w:val="00A57FBC"/>
    <w:rsid w:val="00A60531"/>
    <w:rsid w:val="00A624A4"/>
    <w:rsid w:val="00A626BA"/>
    <w:rsid w:val="00A62C91"/>
    <w:rsid w:val="00A64C80"/>
    <w:rsid w:val="00A64F17"/>
    <w:rsid w:val="00A71211"/>
    <w:rsid w:val="00A718F1"/>
    <w:rsid w:val="00A72A5B"/>
    <w:rsid w:val="00A72FA8"/>
    <w:rsid w:val="00A73D1A"/>
    <w:rsid w:val="00A73F80"/>
    <w:rsid w:val="00A74FF4"/>
    <w:rsid w:val="00A75C23"/>
    <w:rsid w:val="00A76001"/>
    <w:rsid w:val="00A76FB3"/>
    <w:rsid w:val="00A77C56"/>
    <w:rsid w:val="00A8073C"/>
    <w:rsid w:val="00A8129B"/>
    <w:rsid w:val="00A8244E"/>
    <w:rsid w:val="00A82691"/>
    <w:rsid w:val="00A84876"/>
    <w:rsid w:val="00A87094"/>
    <w:rsid w:val="00A87AAF"/>
    <w:rsid w:val="00A9054C"/>
    <w:rsid w:val="00A907BF"/>
    <w:rsid w:val="00A90F0A"/>
    <w:rsid w:val="00A931CE"/>
    <w:rsid w:val="00A933B5"/>
    <w:rsid w:val="00A9466F"/>
    <w:rsid w:val="00A948BF"/>
    <w:rsid w:val="00A96430"/>
    <w:rsid w:val="00A971C4"/>
    <w:rsid w:val="00A97F00"/>
    <w:rsid w:val="00AA0D6F"/>
    <w:rsid w:val="00AA22F9"/>
    <w:rsid w:val="00AA357A"/>
    <w:rsid w:val="00AA418F"/>
    <w:rsid w:val="00AA46C9"/>
    <w:rsid w:val="00AA5AA9"/>
    <w:rsid w:val="00AA6F5D"/>
    <w:rsid w:val="00AA7D72"/>
    <w:rsid w:val="00AB03AB"/>
    <w:rsid w:val="00AB0B39"/>
    <w:rsid w:val="00AB1E9C"/>
    <w:rsid w:val="00AB2D40"/>
    <w:rsid w:val="00AB4E41"/>
    <w:rsid w:val="00AB53BE"/>
    <w:rsid w:val="00AB5AD0"/>
    <w:rsid w:val="00AB5F05"/>
    <w:rsid w:val="00AB7FDD"/>
    <w:rsid w:val="00AC2387"/>
    <w:rsid w:val="00AC2C3C"/>
    <w:rsid w:val="00AC3422"/>
    <w:rsid w:val="00AC36CB"/>
    <w:rsid w:val="00AC6402"/>
    <w:rsid w:val="00AC67B1"/>
    <w:rsid w:val="00AC6BDC"/>
    <w:rsid w:val="00AD114D"/>
    <w:rsid w:val="00AD2A00"/>
    <w:rsid w:val="00AD47BB"/>
    <w:rsid w:val="00AD4CB6"/>
    <w:rsid w:val="00AD5B9D"/>
    <w:rsid w:val="00AD5D93"/>
    <w:rsid w:val="00AD62E4"/>
    <w:rsid w:val="00AD774A"/>
    <w:rsid w:val="00AD7EF0"/>
    <w:rsid w:val="00AE0AFC"/>
    <w:rsid w:val="00AE2347"/>
    <w:rsid w:val="00AE2D74"/>
    <w:rsid w:val="00AF091D"/>
    <w:rsid w:val="00AF20A5"/>
    <w:rsid w:val="00AF4648"/>
    <w:rsid w:val="00AF46CD"/>
    <w:rsid w:val="00AF52D0"/>
    <w:rsid w:val="00AF780A"/>
    <w:rsid w:val="00B0125B"/>
    <w:rsid w:val="00B01EB7"/>
    <w:rsid w:val="00B02CA2"/>
    <w:rsid w:val="00B02DF9"/>
    <w:rsid w:val="00B0469C"/>
    <w:rsid w:val="00B04808"/>
    <w:rsid w:val="00B064EA"/>
    <w:rsid w:val="00B06C16"/>
    <w:rsid w:val="00B0773C"/>
    <w:rsid w:val="00B10146"/>
    <w:rsid w:val="00B10D04"/>
    <w:rsid w:val="00B11E78"/>
    <w:rsid w:val="00B121D6"/>
    <w:rsid w:val="00B12857"/>
    <w:rsid w:val="00B129E3"/>
    <w:rsid w:val="00B12FBF"/>
    <w:rsid w:val="00B1345D"/>
    <w:rsid w:val="00B13580"/>
    <w:rsid w:val="00B14BC5"/>
    <w:rsid w:val="00B15BD3"/>
    <w:rsid w:val="00B16081"/>
    <w:rsid w:val="00B16637"/>
    <w:rsid w:val="00B17394"/>
    <w:rsid w:val="00B17BBC"/>
    <w:rsid w:val="00B20251"/>
    <w:rsid w:val="00B20366"/>
    <w:rsid w:val="00B20367"/>
    <w:rsid w:val="00B20528"/>
    <w:rsid w:val="00B20ED5"/>
    <w:rsid w:val="00B211B3"/>
    <w:rsid w:val="00B21363"/>
    <w:rsid w:val="00B23579"/>
    <w:rsid w:val="00B23E90"/>
    <w:rsid w:val="00B24F3E"/>
    <w:rsid w:val="00B25AFF"/>
    <w:rsid w:val="00B265AC"/>
    <w:rsid w:val="00B31964"/>
    <w:rsid w:val="00B31E60"/>
    <w:rsid w:val="00B3285A"/>
    <w:rsid w:val="00B34C9C"/>
    <w:rsid w:val="00B34D7A"/>
    <w:rsid w:val="00B34DF0"/>
    <w:rsid w:val="00B35B2D"/>
    <w:rsid w:val="00B35F9C"/>
    <w:rsid w:val="00B3649E"/>
    <w:rsid w:val="00B36ED5"/>
    <w:rsid w:val="00B37EB9"/>
    <w:rsid w:val="00B43186"/>
    <w:rsid w:val="00B43ABB"/>
    <w:rsid w:val="00B43BF9"/>
    <w:rsid w:val="00B44098"/>
    <w:rsid w:val="00B44BD9"/>
    <w:rsid w:val="00B46539"/>
    <w:rsid w:val="00B4717E"/>
    <w:rsid w:val="00B47CEE"/>
    <w:rsid w:val="00B532EB"/>
    <w:rsid w:val="00B53D8F"/>
    <w:rsid w:val="00B553CD"/>
    <w:rsid w:val="00B5560B"/>
    <w:rsid w:val="00B5564F"/>
    <w:rsid w:val="00B562AD"/>
    <w:rsid w:val="00B57E0E"/>
    <w:rsid w:val="00B64A21"/>
    <w:rsid w:val="00B657E5"/>
    <w:rsid w:val="00B66B66"/>
    <w:rsid w:val="00B67020"/>
    <w:rsid w:val="00B67131"/>
    <w:rsid w:val="00B67C5C"/>
    <w:rsid w:val="00B67EB4"/>
    <w:rsid w:val="00B710CD"/>
    <w:rsid w:val="00B71DC1"/>
    <w:rsid w:val="00B72C62"/>
    <w:rsid w:val="00B73012"/>
    <w:rsid w:val="00B73132"/>
    <w:rsid w:val="00B73547"/>
    <w:rsid w:val="00B735AD"/>
    <w:rsid w:val="00B736BF"/>
    <w:rsid w:val="00B736FB"/>
    <w:rsid w:val="00B748BE"/>
    <w:rsid w:val="00B74D92"/>
    <w:rsid w:val="00B76073"/>
    <w:rsid w:val="00B76ACB"/>
    <w:rsid w:val="00B803BE"/>
    <w:rsid w:val="00B8139E"/>
    <w:rsid w:val="00B82589"/>
    <w:rsid w:val="00B827DF"/>
    <w:rsid w:val="00B82977"/>
    <w:rsid w:val="00B835F1"/>
    <w:rsid w:val="00B836F1"/>
    <w:rsid w:val="00B83DAA"/>
    <w:rsid w:val="00B842CA"/>
    <w:rsid w:val="00B8442A"/>
    <w:rsid w:val="00B84EAD"/>
    <w:rsid w:val="00B85C0E"/>
    <w:rsid w:val="00B868C5"/>
    <w:rsid w:val="00B87107"/>
    <w:rsid w:val="00B87D25"/>
    <w:rsid w:val="00B90122"/>
    <w:rsid w:val="00B901B0"/>
    <w:rsid w:val="00B90B7B"/>
    <w:rsid w:val="00B90C00"/>
    <w:rsid w:val="00B9129D"/>
    <w:rsid w:val="00B91B2F"/>
    <w:rsid w:val="00B93234"/>
    <w:rsid w:val="00B93652"/>
    <w:rsid w:val="00B937D2"/>
    <w:rsid w:val="00B939FD"/>
    <w:rsid w:val="00B93E07"/>
    <w:rsid w:val="00B93FA6"/>
    <w:rsid w:val="00B944F2"/>
    <w:rsid w:val="00B94A13"/>
    <w:rsid w:val="00B952BF"/>
    <w:rsid w:val="00B95358"/>
    <w:rsid w:val="00B9541B"/>
    <w:rsid w:val="00B96BFC"/>
    <w:rsid w:val="00BA05E9"/>
    <w:rsid w:val="00BA262B"/>
    <w:rsid w:val="00BA2E9D"/>
    <w:rsid w:val="00BA3B81"/>
    <w:rsid w:val="00BA403A"/>
    <w:rsid w:val="00BA594A"/>
    <w:rsid w:val="00BA6260"/>
    <w:rsid w:val="00BA6855"/>
    <w:rsid w:val="00BA72F0"/>
    <w:rsid w:val="00BB14A8"/>
    <w:rsid w:val="00BB2428"/>
    <w:rsid w:val="00BB328F"/>
    <w:rsid w:val="00BB34C2"/>
    <w:rsid w:val="00BB4220"/>
    <w:rsid w:val="00BB587E"/>
    <w:rsid w:val="00BB7A2A"/>
    <w:rsid w:val="00BB7AD2"/>
    <w:rsid w:val="00BB7FA0"/>
    <w:rsid w:val="00BC174F"/>
    <w:rsid w:val="00BC32D4"/>
    <w:rsid w:val="00BC35F3"/>
    <w:rsid w:val="00BC3858"/>
    <w:rsid w:val="00BC4121"/>
    <w:rsid w:val="00BC4AD0"/>
    <w:rsid w:val="00BC51D6"/>
    <w:rsid w:val="00BC54FA"/>
    <w:rsid w:val="00BC5CE5"/>
    <w:rsid w:val="00BC5D04"/>
    <w:rsid w:val="00BC77A4"/>
    <w:rsid w:val="00BD06C9"/>
    <w:rsid w:val="00BD1D2C"/>
    <w:rsid w:val="00BD31CC"/>
    <w:rsid w:val="00BD4439"/>
    <w:rsid w:val="00BD69E6"/>
    <w:rsid w:val="00BD72AD"/>
    <w:rsid w:val="00BD7E85"/>
    <w:rsid w:val="00BE01AA"/>
    <w:rsid w:val="00BE1148"/>
    <w:rsid w:val="00BE2F6E"/>
    <w:rsid w:val="00BE3870"/>
    <w:rsid w:val="00BE418C"/>
    <w:rsid w:val="00BE70D2"/>
    <w:rsid w:val="00BE78A3"/>
    <w:rsid w:val="00BF1E30"/>
    <w:rsid w:val="00BF23B4"/>
    <w:rsid w:val="00BF291D"/>
    <w:rsid w:val="00BF2E54"/>
    <w:rsid w:val="00BF2FDC"/>
    <w:rsid w:val="00BF3953"/>
    <w:rsid w:val="00BF4137"/>
    <w:rsid w:val="00BF41E6"/>
    <w:rsid w:val="00BF475F"/>
    <w:rsid w:val="00BF626B"/>
    <w:rsid w:val="00BF663C"/>
    <w:rsid w:val="00BF6BC7"/>
    <w:rsid w:val="00BF73B5"/>
    <w:rsid w:val="00C0031A"/>
    <w:rsid w:val="00C01DE1"/>
    <w:rsid w:val="00C02552"/>
    <w:rsid w:val="00C02E34"/>
    <w:rsid w:val="00C02F15"/>
    <w:rsid w:val="00C0445D"/>
    <w:rsid w:val="00C04926"/>
    <w:rsid w:val="00C057F6"/>
    <w:rsid w:val="00C05E15"/>
    <w:rsid w:val="00C05E77"/>
    <w:rsid w:val="00C05E8E"/>
    <w:rsid w:val="00C06704"/>
    <w:rsid w:val="00C07843"/>
    <w:rsid w:val="00C07D54"/>
    <w:rsid w:val="00C10255"/>
    <w:rsid w:val="00C11020"/>
    <w:rsid w:val="00C112D5"/>
    <w:rsid w:val="00C117BF"/>
    <w:rsid w:val="00C11A37"/>
    <w:rsid w:val="00C11D47"/>
    <w:rsid w:val="00C12C12"/>
    <w:rsid w:val="00C14265"/>
    <w:rsid w:val="00C14611"/>
    <w:rsid w:val="00C155AB"/>
    <w:rsid w:val="00C16073"/>
    <w:rsid w:val="00C20186"/>
    <w:rsid w:val="00C20708"/>
    <w:rsid w:val="00C2106D"/>
    <w:rsid w:val="00C22271"/>
    <w:rsid w:val="00C22A5E"/>
    <w:rsid w:val="00C23761"/>
    <w:rsid w:val="00C26345"/>
    <w:rsid w:val="00C26E26"/>
    <w:rsid w:val="00C27992"/>
    <w:rsid w:val="00C27F92"/>
    <w:rsid w:val="00C303E1"/>
    <w:rsid w:val="00C30BBA"/>
    <w:rsid w:val="00C30E3F"/>
    <w:rsid w:val="00C30F9A"/>
    <w:rsid w:val="00C3129D"/>
    <w:rsid w:val="00C31ECC"/>
    <w:rsid w:val="00C336D6"/>
    <w:rsid w:val="00C34A4C"/>
    <w:rsid w:val="00C35836"/>
    <w:rsid w:val="00C358B1"/>
    <w:rsid w:val="00C35B94"/>
    <w:rsid w:val="00C360D1"/>
    <w:rsid w:val="00C37184"/>
    <w:rsid w:val="00C3736B"/>
    <w:rsid w:val="00C37D1C"/>
    <w:rsid w:val="00C408CC"/>
    <w:rsid w:val="00C41B8A"/>
    <w:rsid w:val="00C41C58"/>
    <w:rsid w:val="00C42B58"/>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0106"/>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2295"/>
    <w:rsid w:val="00C72D7C"/>
    <w:rsid w:val="00C74621"/>
    <w:rsid w:val="00C7676B"/>
    <w:rsid w:val="00C778A5"/>
    <w:rsid w:val="00C77E2D"/>
    <w:rsid w:val="00C77EC8"/>
    <w:rsid w:val="00C804BF"/>
    <w:rsid w:val="00C80FEB"/>
    <w:rsid w:val="00C81093"/>
    <w:rsid w:val="00C8240F"/>
    <w:rsid w:val="00C83CCC"/>
    <w:rsid w:val="00C86478"/>
    <w:rsid w:val="00C86D3F"/>
    <w:rsid w:val="00C91782"/>
    <w:rsid w:val="00C92BA6"/>
    <w:rsid w:val="00C92FBF"/>
    <w:rsid w:val="00C94A1E"/>
    <w:rsid w:val="00C94D27"/>
    <w:rsid w:val="00C9545D"/>
    <w:rsid w:val="00C95639"/>
    <w:rsid w:val="00C967C4"/>
    <w:rsid w:val="00C978F8"/>
    <w:rsid w:val="00C97A63"/>
    <w:rsid w:val="00CA3120"/>
    <w:rsid w:val="00CA3B93"/>
    <w:rsid w:val="00CA447D"/>
    <w:rsid w:val="00CA4C14"/>
    <w:rsid w:val="00CA4F22"/>
    <w:rsid w:val="00CA5E0C"/>
    <w:rsid w:val="00CA5E8F"/>
    <w:rsid w:val="00CA6409"/>
    <w:rsid w:val="00CA729F"/>
    <w:rsid w:val="00CB13B3"/>
    <w:rsid w:val="00CB15CD"/>
    <w:rsid w:val="00CB1C42"/>
    <w:rsid w:val="00CB4470"/>
    <w:rsid w:val="00CB5271"/>
    <w:rsid w:val="00CB5839"/>
    <w:rsid w:val="00CB5DAA"/>
    <w:rsid w:val="00CB66F2"/>
    <w:rsid w:val="00CB70DE"/>
    <w:rsid w:val="00CC0126"/>
    <w:rsid w:val="00CC0193"/>
    <w:rsid w:val="00CC13D1"/>
    <w:rsid w:val="00CC195B"/>
    <w:rsid w:val="00CC5755"/>
    <w:rsid w:val="00CC57D2"/>
    <w:rsid w:val="00CC5F94"/>
    <w:rsid w:val="00CC6D22"/>
    <w:rsid w:val="00CC6F12"/>
    <w:rsid w:val="00CC7005"/>
    <w:rsid w:val="00CC715D"/>
    <w:rsid w:val="00CC7D2F"/>
    <w:rsid w:val="00CD0239"/>
    <w:rsid w:val="00CD07F2"/>
    <w:rsid w:val="00CD0ED9"/>
    <w:rsid w:val="00CD0FFD"/>
    <w:rsid w:val="00CD15ED"/>
    <w:rsid w:val="00CD22DA"/>
    <w:rsid w:val="00CD2D16"/>
    <w:rsid w:val="00CD2D93"/>
    <w:rsid w:val="00CD3C0B"/>
    <w:rsid w:val="00CD50A2"/>
    <w:rsid w:val="00CD5212"/>
    <w:rsid w:val="00CD5B13"/>
    <w:rsid w:val="00CD6923"/>
    <w:rsid w:val="00CD6BBA"/>
    <w:rsid w:val="00CE153C"/>
    <w:rsid w:val="00CE2D3D"/>
    <w:rsid w:val="00CE2E6F"/>
    <w:rsid w:val="00CE32C4"/>
    <w:rsid w:val="00CE33CE"/>
    <w:rsid w:val="00CE358C"/>
    <w:rsid w:val="00CE4392"/>
    <w:rsid w:val="00CE4524"/>
    <w:rsid w:val="00CE529A"/>
    <w:rsid w:val="00CE5BED"/>
    <w:rsid w:val="00CE61CF"/>
    <w:rsid w:val="00CE73AA"/>
    <w:rsid w:val="00CE785B"/>
    <w:rsid w:val="00CE7A98"/>
    <w:rsid w:val="00CF0789"/>
    <w:rsid w:val="00CF1181"/>
    <w:rsid w:val="00CF1BD7"/>
    <w:rsid w:val="00CF22B6"/>
    <w:rsid w:val="00CF2C7C"/>
    <w:rsid w:val="00CF2D8F"/>
    <w:rsid w:val="00CF3F1D"/>
    <w:rsid w:val="00CF47F1"/>
    <w:rsid w:val="00CF6608"/>
    <w:rsid w:val="00CF6883"/>
    <w:rsid w:val="00CF6AF8"/>
    <w:rsid w:val="00CF7766"/>
    <w:rsid w:val="00CF7C70"/>
    <w:rsid w:val="00D00270"/>
    <w:rsid w:val="00D008F8"/>
    <w:rsid w:val="00D01000"/>
    <w:rsid w:val="00D01F41"/>
    <w:rsid w:val="00D0221E"/>
    <w:rsid w:val="00D0259C"/>
    <w:rsid w:val="00D026CB"/>
    <w:rsid w:val="00D02CB7"/>
    <w:rsid w:val="00D0317F"/>
    <w:rsid w:val="00D04DFC"/>
    <w:rsid w:val="00D05196"/>
    <w:rsid w:val="00D061DC"/>
    <w:rsid w:val="00D07AFE"/>
    <w:rsid w:val="00D121F4"/>
    <w:rsid w:val="00D124FD"/>
    <w:rsid w:val="00D12D10"/>
    <w:rsid w:val="00D14AB6"/>
    <w:rsid w:val="00D15E3E"/>
    <w:rsid w:val="00D16143"/>
    <w:rsid w:val="00D16DDB"/>
    <w:rsid w:val="00D17949"/>
    <w:rsid w:val="00D17C9A"/>
    <w:rsid w:val="00D20092"/>
    <w:rsid w:val="00D20CED"/>
    <w:rsid w:val="00D212D2"/>
    <w:rsid w:val="00D21DBF"/>
    <w:rsid w:val="00D2659E"/>
    <w:rsid w:val="00D27E03"/>
    <w:rsid w:val="00D319A7"/>
    <w:rsid w:val="00D319A8"/>
    <w:rsid w:val="00D32084"/>
    <w:rsid w:val="00D3319E"/>
    <w:rsid w:val="00D336E7"/>
    <w:rsid w:val="00D33E04"/>
    <w:rsid w:val="00D358EE"/>
    <w:rsid w:val="00D35966"/>
    <w:rsid w:val="00D36A8F"/>
    <w:rsid w:val="00D36F2A"/>
    <w:rsid w:val="00D3701E"/>
    <w:rsid w:val="00D40055"/>
    <w:rsid w:val="00D40224"/>
    <w:rsid w:val="00D41268"/>
    <w:rsid w:val="00D41D96"/>
    <w:rsid w:val="00D41EC6"/>
    <w:rsid w:val="00D431AB"/>
    <w:rsid w:val="00D43778"/>
    <w:rsid w:val="00D43AC1"/>
    <w:rsid w:val="00D4433B"/>
    <w:rsid w:val="00D44CBF"/>
    <w:rsid w:val="00D455D5"/>
    <w:rsid w:val="00D45633"/>
    <w:rsid w:val="00D4566C"/>
    <w:rsid w:val="00D45AD2"/>
    <w:rsid w:val="00D4611A"/>
    <w:rsid w:val="00D4750E"/>
    <w:rsid w:val="00D501C1"/>
    <w:rsid w:val="00D50FEB"/>
    <w:rsid w:val="00D51322"/>
    <w:rsid w:val="00D52163"/>
    <w:rsid w:val="00D52889"/>
    <w:rsid w:val="00D5405B"/>
    <w:rsid w:val="00D55C6F"/>
    <w:rsid w:val="00D560E8"/>
    <w:rsid w:val="00D57318"/>
    <w:rsid w:val="00D60B7B"/>
    <w:rsid w:val="00D60E64"/>
    <w:rsid w:val="00D60E7D"/>
    <w:rsid w:val="00D61095"/>
    <w:rsid w:val="00D614F3"/>
    <w:rsid w:val="00D62F77"/>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2843"/>
    <w:rsid w:val="00D730D5"/>
    <w:rsid w:val="00D73D70"/>
    <w:rsid w:val="00D7590A"/>
    <w:rsid w:val="00D761CD"/>
    <w:rsid w:val="00D762DB"/>
    <w:rsid w:val="00D76839"/>
    <w:rsid w:val="00D80029"/>
    <w:rsid w:val="00D805BA"/>
    <w:rsid w:val="00D83805"/>
    <w:rsid w:val="00D83AF8"/>
    <w:rsid w:val="00D847F4"/>
    <w:rsid w:val="00D85DF5"/>
    <w:rsid w:val="00D871A7"/>
    <w:rsid w:val="00D87D4E"/>
    <w:rsid w:val="00D900D5"/>
    <w:rsid w:val="00D901E9"/>
    <w:rsid w:val="00D9077E"/>
    <w:rsid w:val="00D90E4B"/>
    <w:rsid w:val="00D93015"/>
    <w:rsid w:val="00D9302E"/>
    <w:rsid w:val="00D931DF"/>
    <w:rsid w:val="00D953CB"/>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6552"/>
    <w:rsid w:val="00DB6E61"/>
    <w:rsid w:val="00DB71A9"/>
    <w:rsid w:val="00DB797B"/>
    <w:rsid w:val="00DC08A1"/>
    <w:rsid w:val="00DC2585"/>
    <w:rsid w:val="00DC3737"/>
    <w:rsid w:val="00DC44AC"/>
    <w:rsid w:val="00DC5B67"/>
    <w:rsid w:val="00DC5C11"/>
    <w:rsid w:val="00DC676C"/>
    <w:rsid w:val="00DD1A2A"/>
    <w:rsid w:val="00DD1ABE"/>
    <w:rsid w:val="00DD2D90"/>
    <w:rsid w:val="00DD2E8C"/>
    <w:rsid w:val="00DD304E"/>
    <w:rsid w:val="00DD4BA2"/>
    <w:rsid w:val="00DD5BED"/>
    <w:rsid w:val="00DD6830"/>
    <w:rsid w:val="00DD6AA8"/>
    <w:rsid w:val="00DD6B06"/>
    <w:rsid w:val="00DD7705"/>
    <w:rsid w:val="00DE15EE"/>
    <w:rsid w:val="00DE16D5"/>
    <w:rsid w:val="00DE65D2"/>
    <w:rsid w:val="00DF000C"/>
    <w:rsid w:val="00DF06DA"/>
    <w:rsid w:val="00DF086C"/>
    <w:rsid w:val="00DF3577"/>
    <w:rsid w:val="00DF470F"/>
    <w:rsid w:val="00DF4BD5"/>
    <w:rsid w:val="00DF4DD3"/>
    <w:rsid w:val="00DF511C"/>
    <w:rsid w:val="00DF5F96"/>
    <w:rsid w:val="00DF69D6"/>
    <w:rsid w:val="00DF7AD3"/>
    <w:rsid w:val="00DF7CC7"/>
    <w:rsid w:val="00DF7CF2"/>
    <w:rsid w:val="00E004AE"/>
    <w:rsid w:val="00E045A3"/>
    <w:rsid w:val="00E04C70"/>
    <w:rsid w:val="00E04CE5"/>
    <w:rsid w:val="00E05A05"/>
    <w:rsid w:val="00E10C73"/>
    <w:rsid w:val="00E10FE5"/>
    <w:rsid w:val="00E125F0"/>
    <w:rsid w:val="00E13CD9"/>
    <w:rsid w:val="00E15C8A"/>
    <w:rsid w:val="00E15D44"/>
    <w:rsid w:val="00E15E5D"/>
    <w:rsid w:val="00E16170"/>
    <w:rsid w:val="00E1651C"/>
    <w:rsid w:val="00E165A9"/>
    <w:rsid w:val="00E22D7C"/>
    <w:rsid w:val="00E2348F"/>
    <w:rsid w:val="00E23DC7"/>
    <w:rsid w:val="00E24A1C"/>
    <w:rsid w:val="00E254E8"/>
    <w:rsid w:val="00E258D8"/>
    <w:rsid w:val="00E2680C"/>
    <w:rsid w:val="00E2692C"/>
    <w:rsid w:val="00E27658"/>
    <w:rsid w:val="00E277D6"/>
    <w:rsid w:val="00E27896"/>
    <w:rsid w:val="00E27CEB"/>
    <w:rsid w:val="00E30686"/>
    <w:rsid w:val="00E31F05"/>
    <w:rsid w:val="00E3396F"/>
    <w:rsid w:val="00E33FF2"/>
    <w:rsid w:val="00E351A9"/>
    <w:rsid w:val="00E35AF9"/>
    <w:rsid w:val="00E36B79"/>
    <w:rsid w:val="00E3774B"/>
    <w:rsid w:val="00E4148C"/>
    <w:rsid w:val="00E41A22"/>
    <w:rsid w:val="00E42202"/>
    <w:rsid w:val="00E42808"/>
    <w:rsid w:val="00E43F0A"/>
    <w:rsid w:val="00E45C65"/>
    <w:rsid w:val="00E4616E"/>
    <w:rsid w:val="00E4663F"/>
    <w:rsid w:val="00E4709C"/>
    <w:rsid w:val="00E4735E"/>
    <w:rsid w:val="00E5046D"/>
    <w:rsid w:val="00E50AA6"/>
    <w:rsid w:val="00E50CA3"/>
    <w:rsid w:val="00E51515"/>
    <w:rsid w:val="00E518FF"/>
    <w:rsid w:val="00E51A01"/>
    <w:rsid w:val="00E522AE"/>
    <w:rsid w:val="00E528DA"/>
    <w:rsid w:val="00E53093"/>
    <w:rsid w:val="00E535C8"/>
    <w:rsid w:val="00E539BC"/>
    <w:rsid w:val="00E53A7E"/>
    <w:rsid w:val="00E55A3A"/>
    <w:rsid w:val="00E61157"/>
    <w:rsid w:val="00E616CC"/>
    <w:rsid w:val="00E61E99"/>
    <w:rsid w:val="00E620F4"/>
    <w:rsid w:val="00E621C1"/>
    <w:rsid w:val="00E62611"/>
    <w:rsid w:val="00E64BF8"/>
    <w:rsid w:val="00E653A0"/>
    <w:rsid w:val="00E65A0A"/>
    <w:rsid w:val="00E66499"/>
    <w:rsid w:val="00E66576"/>
    <w:rsid w:val="00E66E3E"/>
    <w:rsid w:val="00E67609"/>
    <w:rsid w:val="00E67E44"/>
    <w:rsid w:val="00E70625"/>
    <w:rsid w:val="00E7068C"/>
    <w:rsid w:val="00E710DB"/>
    <w:rsid w:val="00E712C8"/>
    <w:rsid w:val="00E71F43"/>
    <w:rsid w:val="00E71F68"/>
    <w:rsid w:val="00E724F3"/>
    <w:rsid w:val="00E7296B"/>
    <w:rsid w:val="00E73374"/>
    <w:rsid w:val="00E73378"/>
    <w:rsid w:val="00E73CA5"/>
    <w:rsid w:val="00E7451F"/>
    <w:rsid w:val="00E750A6"/>
    <w:rsid w:val="00E754A1"/>
    <w:rsid w:val="00E7609F"/>
    <w:rsid w:val="00E774D6"/>
    <w:rsid w:val="00E778ED"/>
    <w:rsid w:val="00E8005C"/>
    <w:rsid w:val="00E8207D"/>
    <w:rsid w:val="00E8255E"/>
    <w:rsid w:val="00E82BDA"/>
    <w:rsid w:val="00E83C12"/>
    <w:rsid w:val="00E84000"/>
    <w:rsid w:val="00E85AE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745A"/>
    <w:rsid w:val="00EA016C"/>
    <w:rsid w:val="00EA1382"/>
    <w:rsid w:val="00EA2341"/>
    <w:rsid w:val="00EA2AA7"/>
    <w:rsid w:val="00EA2B2B"/>
    <w:rsid w:val="00EA2DAC"/>
    <w:rsid w:val="00EA2F1A"/>
    <w:rsid w:val="00EA3AE1"/>
    <w:rsid w:val="00EA3CCC"/>
    <w:rsid w:val="00EA4857"/>
    <w:rsid w:val="00EA51AA"/>
    <w:rsid w:val="00EA6B07"/>
    <w:rsid w:val="00EB0EC8"/>
    <w:rsid w:val="00EB20A6"/>
    <w:rsid w:val="00EB2214"/>
    <w:rsid w:val="00EB2464"/>
    <w:rsid w:val="00EB2671"/>
    <w:rsid w:val="00EB30BC"/>
    <w:rsid w:val="00EB53AC"/>
    <w:rsid w:val="00EB5B87"/>
    <w:rsid w:val="00EB5D40"/>
    <w:rsid w:val="00EB687F"/>
    <w:rsid w:val="00EB737F"/>
    <w:rsid w:val="00EB7540"/>
    <w:rsid w:val="00EB7F2C"/>
    <w:rsid w:val="00EC039E"/>
    <w:rsid w:val="00EC06FE"/>
    <w:rsid w:val="00EC0FB7"/>
    <w:rsid w:val="00EC1087"/>
    <w:rsid w:val="00EC20D8"/>
    <w:rsid w:val="00EC2605"/>
    <w:rsid w:val="00EC33F2"/>
    <w:rsid w:val="00EC3A3F"/>
    <w:rsid w:val="00EC4014"/>
    <w:rsid w:val="00EC5D15"/>
    <w:rsid w:val="00EC6A9F"/>
    <w:rsid w:val="00EC74E2"/>
    <w:rsid w:val="00ED2128"/>
    <w:rsid w:val="00ED325E"/>
    <w:rsid w:val="00ED4991"/>
    <w:rsid w:val="00ED5E90"/>
    <w:rsid w:val="00ED6800"/>
    <w:rsid w:val="00ED6AA9"/>
    <w:rsid w:val="00ED6CF3"/>
    <w:rsid w:val="00ED6E1B"/>
    <w:rsid w:val="00ED7E91"/>
    <w:rsid w:val="00EE004A"/>
    <w:rsid w:val="00EE0DC0"/>
    <w:rsid w:val="00EE2847"/>
    <w:rsid w:val="00EE301C"/>
    <w:rsid w:val="00EE3225"/>
    <w:rsid w:val="00EE4778"/>
    <w:rsid w:val="00EE4962"/>
    <w:rsid w:val="00EE5227"/>
    <w:rsid w:val="00EE5924"/>
    <w:rsid w:val="00EE7692"/>
    <w:rsid w:val="00EE7CBF"/>
    <w:rsid w:val="00EF0B63"/>
    <w:rsid w:val="00EF1213"/>
    <w:rsid w:val="00EF1B30"/>
    <w:rsid w:val="00EF1C71"/>
    <w:rsid w:val="00EF2343"/>
    <w:rsid w:val="00EF303B"/>
    <w:rsid w:val="00EF3983"/>
    <w:rsid w:val="00EF3CD2"/>
    <w:rsid w:val="00EF5ADE"/>
    <w:rsid w:val="00EF5E1A"/>
    <w:rsid w:val="00EF63CB"/>
    <w:rsid w:val="00EF688A"/>
    <w:rsid w:val="00F00B12"/>
    <w:rsid w:val="00F04E28"/>
    <w:rsid w:val="00F07753"/>
    <w:rsid w:val="00F10A42"/>
    <w:rsid w:val="00F10C2E"/>
    <w:rsid w:val="00F11372"/>
    <w:rsid w:val="00F118C9"/>
    <w:rsid w:val="00F12263"/>
    <w:rsid w:val="00F123F9"/>
    <w:rsid w:val="00F1383C"/>
    <w:rsid w:val="00F141D7"/>
    <w:rsid w:val="00F1462C"/>
    <w:rsid w:val="00F14743"/>
    <w:rsid w:val="00F1497E"/>
    <w:rsid w:val="00F15261"/>
    <w:rsid w:val="00F15511"/>
    <w:rsid w:val="00F166FA"/>
    <w:rsid w:val="00F17554"/>
    <w:rsid w:val="00F17CF2"/>
    <w:rsid w:val="00F17E48"/>
    <w:rsid w:val="00F17F43"/>
    <w:rsid w:val="00F20148"/>
    <w:rsid w:val="00F2153F"/>
    <w:rsid w:val="00F2190A"/>
    <w:rsid w:val="00F2196B"/>
    <w:rsid w:val="00F21A41"/>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41345"/>
    <w:rsid w:val="00F41636"/>
    <w:rsid w:val="00F43312"/>
    <w:rsid w:val="00F458CA"/>
    <w:rsid w:val="00F45E54"/>
    <w:rsid w:val="00F472B4"/>
    <w:rsid w:val="00F4731D"/>
    <w:rsid w:val="00F475C3"/>
    <w:rsid w:val="00F47699"/>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1183"/>
    <w:rsid w:val="00F71236"/>
    <w:rsid w:val="00F713E8"/>
    <w:rsid w:val="00F72171"/>
    <w:rsid w:val="00F72853"/>
    <w:rsid w:val="00F73925"/>
    <w:rsid w:val="00F73BB6"/>
    <w:rsid w:val="00F75851"/>
    <w:rsid w:val="00F75BAC"/>
    <w:rsid w:val="00F765F5"/>
    <w:rsid w:val="00F807A7"/>
    <w:rsid w:val="00F807EA"/>
    <w:rsid w:val="00F8156B"/>
    <w:rsid w:val="00F83835"/>
    <w:rsid w:val="00F83AE7"/>
    <w:rsid w:val="00F83FEC"/>
    <w:rsid w:val="00F8405B"/>
    <w:rsid w:val="00F85BD4"/>
    <w:rsid w:val="00F85C48"/>
    <w:rsid w:val="00F85DEE"/>
    <w:rsid w:val="00F86510"/>
    <w:rsid w:val="00F879BC"/>
    <w:rsid w:val="00F87B48"/>
    <w:rsid w:val="00F912C3"/>
    <w:rsid w:val="00F917AE"/>
    <w:rsid w:val="00F91DD3"/>
    <w:rsid w:val="00F93531"/>
    <w:rsid w:val="00F9360B"/>
    <w:rsid w:val="00F93948"/>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A791A"/>
    <w:rsid w:val="00FB0890"/>
    <w:rsid w:val="00FB1D74"/>
    <w:rsid w:val="00FB2E5D"/>
    <w:rsid w:val="00FB3C6C"/>
    <w:rsid w:val="00FB465A"/>
    <w:rsid w:val="00FB4C74"/>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F49"/>
    <w:rsid w:val="00FD323D"/>
    <w:rsid w:val="00FD542B"/>
    <w:rsid w:val="00FE1D5A"/>
    <w:rsid w:val="00FE24A9"/>
    <w:rsid w:val="00FE3E3F"/>
    <w:rsid w:val="00FE434A"/>
    <w:rsid w:val="00FE4DC8"/>
    <w:rsid w:val="00FE5A6B"/>
    <w:rsid w:val="00FE5B9E"/>
    <w:rsid w:val="00FE663A"/>
    <w:rsid w:val="00FE683D"/>
    <w:rsid w:val="00FE72F2"/>
    <w:rsid w:val="00FE736E"/>
    <w:rsid w:val="00FF046D"/>
    <w:rsid w:val="00FF158B"/>
    <w:rsid w:val="00FF7252"/>
    <w:rsid w:val="00FF78CA"/>
    <w:rsid w:val="01080D82"/>
    <w:rsid w:val="01202A68"/>
    <w:rsid w:val="014964C6"/>
    <w:rsid w:val="015676BF"/>
    <w:rsid w:val="018F22F3"/>
    <w:rsid w:val="019A4621"/>
    <w:rsid w:val="02416842"/>
    <w:rsid w:val="02AD30E0"/>
    <w:rsid w:val="02CF51F8"/>
    <w:rsid w:val="02D069D9"/>
    <w:rsid w:val="02E5085D"/>
    <w:rsid w:val="03364F2B"/>
    <w:rsid w:val="03514360"/>
    <w:rsid w:val="03AB2112"/>
    <w:rsid w:val="03D4596C"/>
    <w:rsid w:val="04C61E6F"/>
    <w:rsid w:val="04F62134"/>
    <w:rsid w:val="057A490C"/>
    <w:rsid w:val="0583488F"/>
    <w:rsid w:val="05C97F0E"/>
    <w:rsid w:val="05EA4BBF"/>
    <w:rsid w:val="06202CE6"/>
    <w:rsid w:val="063B7BE6"/>
    <w:rsid w:val="06803A3C"/>
    <w:rsid w:val="0689401F"/>
    <w:rsid w:val="06C66B2C"/>
    <w:rsid w:val="06CE3DC1"/>
    <w:rsid w:val="06D30A71"/>
    <w:rsid w:val="075E602A"/>
    <w:rsid w:val="078011B8"/>
    <w:rsid w:val="07BC0EB5"/>
    <w:rsid w:val="07D83C2B"/>
    <w:rsid w:val="07E07279"/>
    <w:rsid w:val="083527CD"/>
    <w:rsid w:val="08824884"/>
    <w:rsid w:val="08851A0E"/>
    <w:rsid w:val="08DF7C1B"/>
    <w:rsid w:val="08E40C9D"/>
    <w:rsid w:val="08F33659"/>
    <w:rsid w:val="091839ED"/>
    <w:rsid w:val="0920737C"/>
    <w:rsid w:val="092164BB"/>
    <w:rsid w:val="092943EB"/>
    <w:rsid w:val="09C8299C"/>
    <w:rsid w:val="0A126902"/>
    <w:rsid w:val="0AA65A25"/>
    <w:rsid w:val="0AB01615"/>
    <w:rsid w:val="0AF4023F"/>
    <w:rsid w:val="0B004BAC"/>
    <w:rsid w:val="0B0F4EB2"/>
    <w:rsid w:val="0B5B5331"/>
    <w:rsid w:val="0B7B1FE3"/>
    <w:rsid w:val="0B823CDE"/>
    <w:rsid w:val="0B9849B9"/>
    <w:rsid w:val="0BE74F15"/>
    <w:rsid w:val="0C2C00A2"/>
    <w:rsid w:val="0C2E6DAE"/>
    <w:rsid w:val="0C4412E2"/>
    <w:rsid w:val="0C4E7DBD"/>
    <w:rsid w:val="0C8A5A23"/>
    <w:rsid w:val="0C90792D"/>
    <w:rsid w:val="0CC14878"/>
    <w:rsid w:val="0CD94286"/>
    <w:rsid w:val="0CE23EB3"/>
    <w:rsid w:val="0D5A4DF7"/>
    <w:rsid w:val="0DC32655"/>
    <w:rsid w:val="0E172C2B"/>
    <w:rsid w:val="0E3015D7"/>
    <w:rsid w:val="0E55310D"/>
    <w:rsid w:val="0E5D2E0D"/>
    <w:rsid w:val="0ECC5E3D"/>
    <w:rsid w:val="0EF9687D"/>
    <w:rsid w:val="0F013EAE"/>
    <w:rsid w:val="0F195AC8"/>
    <w:rsid w:val="0F6251CC"/>
    <w:rsid w:val="1023778A"/>
    <w:rsid w:val="10242D0C"/>
    <w:rsid w:val="10513631"/>
    <w:rsid w:val="108D271D"/>
    <w:rsid w:val="10C100BE"/>
    <w:rsid w:val="11446969"/>
    <w:rsid w:val="115E178F"/>
    <w:rsid w:val="1173042F"/>
    <w:rsid w:val="117B32BD"/>
    <w:rsid w:val="118E20C7"/>
    <w:rsid w:val="11D72352"/>
    <w:rsid w:val="11DA4319"/>
    <w:rsid w:val="11DB0D58"/>
    <w:rsid w:val="12224D50"/>
    <w:rsid w:val="12272D64"/>
    <w:rsid w:val="1228750E"/>
    <w:rsid w:val="12576014"/>
    <w:rsid w:val="1276767E"/>
    <w:rsid w:val="128B0EFC"/>
    <w:rsid w:val="12BB3C49"/>
    <w:rsid w:val="12F77499"/>
    <w:rsid w:val="12FA6FB1"/>
    <w:rsid w:val="132909F0"/>
    <w:rsid w:val="13D43C76"/>
    <w:rsid w:val="14261483"/>
    <w:rsid w:val="144B4940"/>
    <w:rsid w:val="147C7C82"/>
    <w:rsid w:val="148B3144"/>
    <w:rsid w:val="149F7FF8"/>
    <w:rsid w:val="14FD2EFF"/>
    <w:rsid w:val="15414A4B"/>
    <w:rsid w:val="15582314"/>
    <w:rsid w:val="155E691D"/>
    <w:rsid w:val="157B4940"/>
    <w:rsid w:val="158B11B1"/>
    <w:rsid w:val="15FA3FDD"/>
    <w:rsid w:val="16DF59A4"/>
    <w:rsid w:val="16F86434"/>
    <w:rsid w:val="174F244F"/>
    <w:rsid w:val="178A7E81"/>
    <w:rsid w:val="17C52FD1"/>
    <w:rsid w:val="187810EF"/>
    <w:rsid w:val="187B4442"/>
    <w:rsid w:val="18A10AF7"/>
    <w:rsid w:val="18B65219"/>
    <w:rsid w:val="18D10E5F"/>
    <w:rsid w:val="198C111F"/>
    <w:rsid w:val="199C0D7F"/>
    <w:rsid w:val="19BA51A2"/>
    <w:rsid w:val="1A09059D"/>
    <w:rsid w:val="1A4B3DF6"/>
    <w:rsid w:val="1A9966B3"/>
    <w:rsid w:val="1AB41E31"/>
    <w:rsid w:val="1ABE407C"/>
    <w:rsid w:val="1AED613D"/>
    <w:rsid w:val="1AF25C14"/>
    <w:rsid w:val="1B5003E0"/>
    <w:rsid w:val="1BB864D0"/>
    <w:rsid w:val="1C197E29"/>
    <w:rsid w:val="1C43220C"/>
    <w:rsid w:val="1C9B2B15"/>
    <w:rsid w:val="1CA663EC"/>
    <w:rsid w:val="1CCD5D5E"/>
    <w:rsid w:val="1CD4275A"/>
    <w:rsid w:val="1CE30A97"/>
    <w:rsid w:val="1CE55E2A"/>
    <w:rsid w:val="1D012325"/>
    <w:rsid w:val="1D097731"/>
    <w:rsid w:val="1D3C6E43"/>
    <w:rsid w:val="1DB55904"/>
    <w:rsid w:val="1DE05425"/>
    <w:rsid w:val="1E787411"/>
    <w:rsid w:val="1E9239B5"/>
    <w:rsid w:val="1F0C367F"/>
    <w:rsid w:val="1F616A23"/>
    <w:rsid w:val="1F6F6530"/>
    <w:rsid w:val="1F9C2D2C"/>
    <w:rsid w:val="1FAE79A9"/>
    <w:rsid w:val="1FFA6F5C"/>
    <w:rsid w:val="202A38C6"/>
    <w:rsid w:val="202C78D6"/>
    <w:rsid w:val="20886D0A"/>
    <w:rsid w:val="208B3F26"/>
    <w:rsid w:val="20B65C39"/>
    <w:rsid w:val="21153628"/>
    <w:rsid w:val="213965DB"/>
    <w:rsid w:val="21750C22"/>
    <w:rsid w:val="218C674C"/>
    <w:rsid w:val="21B24D59"/>
    <w:rsid w:val="21C12C7C"/>
    <w:rsid w:val="21D21888"/>
    <w:rsid w:val="21ED3A52"/>
    <w:rsid w:val="22330628"/>
    <w:rsid w:val="224D4B84"/>
    <w:rsid w:val="225105E3"/>
    <w:rsid w:val="229F5759"/>
    <w:rsid w:val="22B2541E"/>
    <w:rsid w:val="22F13E31"/>
    <w:rsid w:val="234A7799"/>
    <w:rsid w:val="23707E30"/>
    <w:rsid w:val="23C95131"/>
    <w:rsid w:val="23F63020"/>
    <w:rsid w:val="2438587A"/>
    <w:rsid w:val="246313E1"/>
    <w:rsid w:val="24790A97"/>
    <w:rsid w:val="24E76232"/>
    <w:rsid w:val="2537799C"/>
    <w:rsid w:val="25410960"/>
    <w:rsid w:val="25A847D7"/>
    <w:rsid w:val="25AA16FD"/>
    <w:rsid w:val="25D53591"/>
    <w:rsid w:val="25DD0979"/>
    <w:rsid w:val="262E733A"/>
    <w:rsid w:val="26C67F72"/>
    <w:rsid w:val="270516DB"/>
    <w:rsid w:val="27171403"/>
    <w:rsid w:val="27256B07"/>
    <w:rsid w:val="273C7465"/>
    <w:rsid w:val="275F76DE"/>
    <w:rsid w:val="278801B8"/>
    <w:rsid w:val="27AE6F5F"/>
    <w:rsid w:val="27C66D50"/>
    <w:rsid w:val="27DF44DD"/>
    <w:rsid w:val="27EB02CF"/>
    <w:rsid w:val="283F49CC"/>
    <w:rsid w:val="285F4974"/>
    <w:rsid w:val="28A86735"/>
    <w:rsid w:val="28D856B4"/>
    <w:rsid w:val="29412D8A"/>
    <w:rsid w:val="296960FC"/>
    <w:rsid w:val="298878E9"/>
    <w:rsid w:val="299C5651"/>
    <w:rsid w:val="29C25891"/>
    <w:rsid w:val="29F02FD9"/>
    <w:rsid w:val="2A342C19"/>
    <w:rsid w:val="2A7F14C7"/>
    <w:rsid w:val="2AA806D7"/>
    <w:rsid w:val="2AB25DF3"/>
    <w:rsid w:val="2AC34BCD"/>
    <w:rsid w:val="2AD51ED6"/>
    <w:rsid w:val="2B01621D"/>
    <w:rsid w:val="2B0D2030"/>
    <w:rsid w:val="2B562043"/>
    <w:rsid w:val="2B991C14"/>
    <w:rsid w:val="2BA63597"/>
    <w:rsid w:val="2C30193E"/>
    <w:rsid w:val="2C312628"/>
    <w:rsid w:val="2CDD482A"/>
    <w:rsid w:val="2D2E552D"/>
    <w:rsid w:val="2D976983"/>
    <w:rsid w:val="2DCA4299"/>
    <w:rsid w:val="2DFE4AE9"/>
    <w:rsid w:val="2E215FDC"/>
    <w:rsid w:val="2E3D181A"/>
    <w:rsid w:val="2E6335A8"/>
    <w:rsid w:val="2E677CC4"/>
    <w:rsid w:val="2E6E173D"/>
    <w:rsid w:val="2E6F4920"/>
    <w:rsid w:val="2E81295C"/>
    <w:rsid w:val="2E9167FD"/>
    <w:rsid w:val="2EBA252B"/>
    <w:rsid w:val="2EDF3BA5"/>
    <w:rsid w:val="2EF06EE4"/>
    <w:rsid w:val="2F1968DA"/>
    <w:rsid w:val="2F1D39A9"/>
    <w:rsid w:val="2FCA28F3"/>
    <w:rsid w:val="3019691F"/>
    <w:rsid w:val="30B11259"/>
    <w:rsid w:val="30BE2F05"/>
    <w:rsid w:val="30F17E6F"/>
    <w:rsid w:val="31097A6F"/>
    <w:rsid w:val="312F337F"/>
    <w:rsid w:val="313F544A"/>
    <w:rsid w:val="31D744C7"/>
    <w:rsid w:val="31DD264B"/>
    <w:rsid w:val="32193DF4"/>
    <w:rsid w:val="32736ACC"/>
    <w:rsid w:val="327515D8"/>
    <w:rsid w:val="329541C6"/>
    <w:rsid w:val="32CA6AA3"/>
    <w:rsid w:val="32E205B6"/>
    <w:rsid w:val="32E54681"/>
    <w:rsid w:val="33662704"/>
    <w:rsid w:val="336D5AC8"/>
    <w:rsid w:val="33F16D5B"/>
    <w:rsid w:val="343B1E3D"/>
    <w:rsid w:val="34567045"/>
    <w:rsid w:val="346A02AE"/>
    <w:rsid w:val="348B2EC1"/>
    <w:rsid w:val="349C53E8"/>
    <w:rsid w:val="34A95169"/>
    <w:rsid w:val="34C042A5"/>
    <w:rsid w:val="34CC2EFC"/>
    <w:rsid w:val="34E40275"/>
    <w:rsid w:val="34E5279E"/>
    <w:rsid w:val="34F65DF3"/>
    <w:rsid w:val="35347E57"/>
    <w:rsid w:val="35966B27"/>
    <w:rsid w:val="359D512B"/>
    <w:rsid w:val="35B800F7"/>
    <w:rsid w:val="35F40405"/>
    <w:rsid w:val="36111C89"/>
    <w:rsid w:val="36306DF5"/>
    <w:rsid w:val="365E0D28"/>
    <w:rsid w:val="368054F6"/>
    <w:rsid w:val="36A40E92"/>
    <w:rsid w:val="36E03F13"/>
    <w:rsid w:val="375D0B71"/>
    <w:rsid w:val="37B67EF6"/>
    <w:rsid w:val="37BF43DC"/>
    <w:rsid w:val="38037FF5"/>
    <w:rsid w:val="3870470F"/>
    <w:rsid w:val="38810FEF"/>
    <w:rsid w:val="38C21C75"/>
    <w:rsid w:val="38C724FE"/>
    <w:rsid w:val="391A1EE4"/>
    <w:rsid w:val="393976F0"/>
    <w:rsid w:val="39560AA7"/>
    <w:rsid w:val="398A6B77"/>
    <w:rsid w:val="39FB1A01"/>
    <w:rsid w:val="3A20341D"/>
    <w:rsid w:val="3A3F7E05"/>
    <w:rsid w:val="3A53658A"/>
    <w:rsid w:val="3A887993"/>
    <w:rsid w:val="3A8D1D98"/>
    <w:rsid w:val="3A9B47EA"/>
    <w:rsid w:val="3AED3B71"/>
    <w:rsid w:val="3AF6559B"/>
    <w:rsid w:val="3B25499E"/>
    <w:rsid w:val="3B33221E"/>
    <w:rsid w:val="3B7E7FFC"/>
    <w:rsid w:val="3BD203A4"/>
    <w:rsid w:val="3BF5596C"/>
    <w:rsid w:val="3C1C2117"/>
    <w:rsid w:val="3C277440"/>
    <w:rsid w:val="3C284EC1"/>
    <w:rsid w:val="3C467BEE"/>
    <w:rsid w:val="3CC90CB6"/>
    <w:rsid w:val="3CEC0482"/>
    <w:rsid w:val="3CF220C0"/>
    <w:rsid w:val="3D0F1DE2"/>
    <w:rsid w:val="3D9D547E"/>
    <w:rsid w:val="3DC40382"/>
    <w:rsid w:val="3DC90AD2"/>
    <w:rsid w:val="3E194479"/>
    <w:rsid w:val="3E384AB0"/>
    <w:rsid w:val="3E385CBB"/>
    <w:rsid w:val="3EBA6E55"/>
    <w:rsid w:val="3EC406B0"/>
    <w:rsid w:val="3EEC7BC8"/>
    <w:rsid w:val="3F0D4053"/>
    <w:rsid w:val="3F185710"/>
    <w:rsid w:val="3F552F36"/>
    <w:rsid w:val="3F927F83"/>
    <w:rsid w:val="3FA5067B"/>
    <w:rsid w:val="3FEE25D4"/>
    <w:rsid w:val="400C31BB"/>
    <w:rsid w:val="4073454C"/>
    <w:rsid w:val="408469E4"/>
    <w:rsid w:val="40894139"/>
    <w:rsid w:val="40F01597"/>
    <w:rsid w:val="410E198E"/>
    <w:rsid w:val="411333FC"/>
    <w:rsid w:val="411C0ACC"/>
    <w:rsid w:val="414379FB"/>
    <w:rsid w:val="418A45EE"/>
    <w:rsid w:val="41BA22E4"/>
    <w:rsid w:val="41D647A7"/>
    <w:rsid w:val="41F92E6C"/>
    <w:rsid w:val="4246380B"/>
    <w:rsid w:val="424F7F6A"/>
    <w:rsid w:val="42946546"/>
    <w:rsid w:val="42A40172"/>
    <w:rsid w:val="42AB2F39"/>
    <w:rsid w:val="4309027E"/>
    <w:rsid w:val="433649A7"/>
    <w:rsid w:val="434108F5"/>
    <w:rsid w:val="437C1F45"/>
    <w:rsid w:val="439C027C"/>
    <w:rsid w:val="43B9050A"/>
    <w:rsid w:val="43B909B9"/>
    <w:rsid w:val="43CE2FCC"/>
    <w:rsid w:val="447943E7"/>
    <w:rsid w:val="447F0983"/>
    <w:rsid w:val="448A4540"/>
    <w:rsid w:val="44A44CBD"/>
    <w:rsid w:val="44B70AE7"/>
    <w:rsid w:val="44C31694"/>
    <w:rsid w:val="44C65E68"/>
    <w:rsid w:val="44CE5CFB"/>
    <w:rsid w:val="44FB234A"/>
    <w:rsid w:val="45541C56"/>
    <w:rsid w:val="45820329"/>
    <w:rsid w:val="45BC45F5"/>
    <w:rsid w:val="45FB3728"/>
    <w:rsid w:val="46136706"/>
    <w:rsid w:val="461F7F9A"/>
    <w:rsid w:val="46685706"/>
    <w:rsid w:val="46AD6DC2"/>
    <w:rsid w:val="46C042A0"/>
    <w:rsid w:val="46CC0366"/>
    <w:rsid w:val="47496783"/>
    <w:rsid w:val="47B91373"/>
    <w:rsid w:val="47ED3A0E"/>
    <w:rsid w:val="483D5A76"/>
    <w:rsid w:val="48456F68"/>
    <w:rsid w:val="48E1307F"/>
    <w:rsid w:val="48FE190D"/>
    <w:rsid w:val="494125CD"/>
    <w:rsid w:val="495239CA"/>
    <w:rsid w:val="49772F05"/>
    <w:rsid w:val="498C11E0"/>
    <w:rsid w:val="499C6778"/>
    <w:rsid w:val="49A876C5"/>
    <w:rsid w:val="49AD7DF1"/>
    <w:rsid w:val="49BA5831"/>
    <w:rsid w:val="49D417C0"/>
    <w:rsid w:val="4A020EFA"/>
    <w:rsid w:val="4A283338"/>
    <w:rsid w:val="4A451435"/>
    <w:rsid w:val="4AAA1B48"/>
    <w:rsid w:val="4ABE0B59"/>
    <w:rsid w:val="4ADB665F"/>
    <w:rsid w:val="4B12498C"/>
    <w:rsid w:val="4B7D6AAF"/>
    <w:rsid w:val="4BB1746E"/>
    <w:rsid w:val="4C05172E"/>
    <w:rsid w:val="4C157820"/>
    <w:rsid w:val="4C637EC9"/>
    <w:rsid w:val="4CE566B4"/>
    <w:rsid w:val="4D1B0B31"/>
    <w:rsid w:val="4D2C665D"/>
    <w:rsid w:val="4D402711"/>
    <w:rsid w:val="4D5B780D"/>
    <w:rsid w:val="4D9B7D7B"/>
    <w:rsid w:val="4DED3AF7"/>
    <w:rsid w:val="4E852AFB"/>
    <w:rsid w:val="4EA6132D"/>
    <w:rsid w:val="4EAD4B7C"/>
    <w:rsid w:val="4F047ABB"/>
    <w:rsid w:val="4F19378A"/>
    <w:rsid w:val="4F32757E"/>
    <w:rsid w:val="4F545F69"/>
    <w:rsid w:val="4F7169D1"/>
    <w:rsid w:val="4F8E4E52"/>
    <w:rsid w:val="4FB61D55"/>
    <w:rsid w:val="4FD82BFB"/>
    <w:rsid w:val="500406E2"/>
    <w:rsid w:val="50126BD5"/>
    <w:rsid w:val="506510A7"/>
    <w:rsid w:val="50781E13"/>
    <w:rsid w:val="50836833"/>
    <w:rsid w:val="508441B0"/>
    <w:rsid w:val="50A46401"/>
    <w:rsid w:val="50B06B5C"/>
    <w:rsid w:val="50BC1418"/>
    <w:rsid w:val="50CD4448"/>
    <w:rsid w:val="50F356C2"/>
    <w:rsid w:val="51263533"/>
    <w:rsid w:val="517D4A7B"/>
    <w:rsid w:val="51A373EF"/>
    <w:rsid w:val="51B04B8A"/>
    <w:rsid w:val="51B106CA"/>
    <w:rsid w:val="51EF3096"/>
    <w:rsid w:val="51F00D06"/>
    <w:rsid w:val="520E792B"/>
    <w:rsid w:val="52622C38"/>
    <w:rsid w:val="526938EF"/>
    <w:rsid w:val="5346672E"/>
    <w:rsid w:val="534E7AD3"/>
    <w:rsid w:val="53A16B08"/>
    <w:rsid w:val="53AD73D7"/>
    <w:rsid w:val="53BA0C6B"/>
    <w:rsid w:val="53F24649"/>
    <w:rsid w:val="53F362AD"/>
    <w:rsid w:val="542A4C7F"/>
    <w:rsid w:val="54506408"/>
    <w:rsid w:val="54B315AD"/>
    <w:rsid w:val="54FC1DD7"/>
    <w:rsid w:val="54FF0CBC"/>
    <w:rsid w:val="551B53B0"/>
    <w:rsid w:val="5527221E"/>
    <w:rsid w:val="55A44449"/>
    <w:rsid w:val="55A64F94"/>
    <w:rsid w:val="55A73476"/>
    <w:rsid w:val="55D62DC1"/>
    <w:rsid w:val="55D6484C"/>
    <w:rsid w:val="55D649A5"/>
    <w:rsid w:val="55F2131F"/>
    <w:rsid w:val="560E7129"/>
    <w:rsid w:val="56351BBC"/>
    <w:rsid w:val="56390D43"/>
    <w:rsid w:val="568716C2"/>
    <w:rsid w:val="568F3082"/>
    <w:rsid w:val="569C401D"/>
    <w:rsid w:val="56B22430"/>
    <w:rsid w:val="56C7442A"/>
    <w:rsid w:val="56EA4326"/>
    <w:rsid w:val="57306ED7"/>
    <w:rsid w:val="574457BA"/>
    <w:rsid w:val="57545D01"/>
    <w:rsid w:val="577B6F45"/>
    <w:rsid w:val="577F7F2A"/>
    <w:rsid w:val="57982C4A"/>
    <w:rsid w:val="57A8345F"/>
    <w:rsid w:val="57A919E5"/>
    <w:rsid w:val="57C33AAF"/>
    <w:rsid w:val="584432DE"/>
    <w:rsid w:val="584C3F6D"/>
    <w:rsid w:val="58850372"/>
    <w:rsid w:val="58BC4F89"/>
    <w:rsid w:val="592C32BF"/>
    <w:rsid w:val="599F1424"/>
    <w:rsid w:val="59D01C1A"/>
    <w:rsid w:val="59DF307F"/>
    <w:rsid w:val="59F43024"/>
    <w:rsid w:val="5A0953BB"/>
    <w:rsid w:val="5A232165"/>
    <w:rsid w:val="5A3F57C3"/>
    <w:rsid w:val="5A616890"/>
    <w:rsid w:val="5A6E3CCC"/>
    <w:rsid w:val="5ABA2074"/>
    <w:rsid w:val="5AD50114"/>
    <w:rsid w:val="5B133D73"/>
    <w:rsid w:val="5B7B6D37"/>
    <w:rsid w:val="5BC81C55"/>
    <w:rsid w:val="5BE22850"/>
    <w:rsid w:val="5BEF1EA9"/>
    <w:rsid w:val="5C091447"/>
    <w:rsid w:val="5C6F7EB5"/>
    <w:rsid w:val="5CBD38CC"/>
    <w:rsid w:val="5CCB17BA"/>
    <w:rsid w:val="5CCE3752"/>
    <w:rsid w:val="5CDF0368"/>
    <w:rsid w:val="5D154F2F"/>
    <w:rsid w:val="5D170989"/>
    <w:rsid w:val="5D8A1907"/>
    <w:rsid w:val="5D9C7622"/>
    <w:rsid w:val="5D9E7CFB"/>
    <w:rsid w:val="5DA424B0"/>
    <w:rsid w:val="5DA62130"/>
    <w:rsid w:val="5DEE3BA9"/>
    <w:rsid w:val="5E141437"/>
    <w:rsid w:val="5E324E50"/>
    <w:rsid w:val="5E4A397A"/>
    <w:rsid w:val="5ED4240C"/>
    <w:rsid w:val="5EEF0DF4"/>
    <w:rsid w:val="5F0C1FAA"/>
    <w:rsid w:val="5F2B5E9D"/>
    <w:rsid w:val="5F4131D6"/>
    <w:rsid w:val="5F567672"/>
    <w:rsid w:val="5FA015D9"/>
    <w:rsid w:val="5FB16D0D"/>
    <w:rsid w:val="5FCD2DBA"/>
    <w:rsid w:val="5FD079B0"/>
    <w:rsid w:val="5FDF203B"/>
    <w:rsid w:val="5FF0671C"/>
    <w:rsid w:val="600C317D"/>
    <w:rsid w:val="608318B4"/>
    <w:rsid w:val="60C6349E"/>
    <w:rsid w:val="60F92B19"/>
    <w:rsid w:val="61153233"/>
    <w:rsid w:val="611B62E0"/>
    <w:rsid w:val="612B661D"/>
    <w:rsid w:val="61323F0E"/>
    <w:rsid w:val="61572FCA"/>
    <w:rsid w:val="61796CCA"/>
    <w:rsid w:val="61990DAC"/>
    <w:rsid w:val="61DF40FF"/>
    <w:rsid w:val="6204625D"/>
    <w:rsid w:val="62487F57"/>
    <w:rsid w:val="63067204"/>
    <w:rsid w:val="63160F96"/>
    <w:rsid w:val="631E6DF3"/>
    <w:rsid w:val="63733BC5"/>
    <w:rsid w:val="6375093F"/>
    <w:rsid w:val="637C0048"/>
    <w:rsid w:val="6388322C"/>
    <w:rsid w:val="638B1597"/>
    <w:rsid w:val="63F1749D"/>
    <w:rsid w:val="64387856"/>
    <w:rsid w:val="648E71F3"/>
    <w:rsid w:val="64AC073A"/>
    <w:rsid w:val="64C818A0"/>
    <w:rsid w:val="64CB3859"/>
    <w:rsid w:val="64D22B78"/>
    <w:rsid w:val="65326415"/>
    <w:rsid w:val="656B43DA"/>
    <w:rsid w:val="656E29F6"/>
    <w:rsid w:val="65F9123B"/>
    <w:rsid w:val="66251A8B"/>
    <w:rsid w:val="664604DB"/>
    <w:rsid w:val="668A79E3"/>
    <w:rsid w:val="66A62125"/>
    <w:rsid w:val="674F3F95"/>
    <w:rsid w:val="67535329"/>
    <w:rsid w:val="676D109E"/>
    <w:rsid w:val="676F59BF"/>
    <w:rsid w:val="677B2AD6"/>
    <w:rsid w:val="67893A7A"/>
    <w:rsid w:val="67A56A9D"/>
    <w:rsid w:val="67AE791C"/>
    <w:rsid w:val="67CD1219"/>
    <w:rsid w:val="67DE21BB"/>
    <w:rsid w:val="684E41E4"/>
    <w:rsid w:val="688F0D2F"/>
    <w:rsid w:val="68C44DA7"/>
    <w:rsid w:val="68D1679B"/>
    <w:rsid w:val="691C4781"/>
    <w:rsid w:val="691C487D"/>
    <w:rsid w:val="69534D37"/>
    <w:rsid w:val="696C5DB0"/>
    <w:rsid w:val="69935426"/>
    <w:rsid w:val="699A724E"/>
    <w:rsid w:val="69B774DA"/>
    <w:rsid w:val="69E942EE"/>
    <w:rsid w:val="6A0568FD"/>
    <w:rsid w:val="6A6902C1"/>
    <w:rsid w:val="6A6B7926"/>
    <w:rsid w:val="6A725781"/>
    <w:rsid w:val="6A8C5A80"/>
    <w:rsid w:val="6AA50FF0"/>
    <w:rsid w:val="6AB9033F"/>
    <w:rsid w:val="6AED10A7"/>
    <w:rsid w:val="6B6B34C9"/>
    <w:rsid w:val="6B8B337B"/>
    <w:rsid w:val="6BCD5635"/>
    <w:rsid w:val="6C150E53"/>
    <w:rsid w:val="6C173318"/>
    <w:rsid w:val="6C1C3FF1"/>
    <w:rsid w:val="6C807A68"/>
    <w:rsid w:val="6CA7126D"/>
    <w:rsid w:val="6CCC6978"/>
    <w:rsid w:val="6D050449"/>
    <w:rsid w:val="6D087E8B"/>
    <w:rsid w:val="6D2E262D"/>
    <w:rsid w:val="6D45222D"/>
    <w:rsid w:val="6D8E5BEC"/>
    <w:rsid w:val="6E870C41"/>
    <w:rsid w:val="6EDA21A3"/>
    <w:rsid w:val="6EEB5CE3"/>
    <w:rsid w:val="6F28481A"/>
    <w:rsid w:val="6F345300"/>
    <w:rsid w:val="6F4935E5"/>
    <w:rsid w:val="6F525C6B"/>
    <w:rsid w:val="6F6F1C62"/>
    <w:rsid w:val="6FC00CB8"/>
    <w:rsid w:val="6FF5793D"/>
    <w:rsid w:val="7009549A"/>
    <w:rsid w:val="701112CA"/>
    <w:rsid w:val="70192966"/>
    <w:rsid w:val="7146251D"/>
    <w:rsid w:val="716B2E55"/>
    <w:rsid w:val="716D3CA6"/>
    <w:rsid w:val="716D439C"/>
    <w:rsid w:val="71744D4E"/>
    <w:rsid w:val="719C5DE9"/>
    <w:rsid w:val="71DB00B9"/>
    <w:rsid w:val="72143A53"/>
    <w:rsid w:val="7221171E"/>
    <w:rsid w:val="722759EC"/>
    <w:rsid w:val="723846FF"/>
    <w:rsid w:val="724527C5"/>
    <w:rsid w:val="728D111B"/>
    <w:rsid w:val="72B1462A"/>
    <w:rsid w:val="72C56C4F"/>
    <w:rsid w:val="72EA4043"/>
    <w:rsid w:val="72EC0BE9"/>
    <w:rsid w:val="732B23EC"/>
    <w:rsid w:val="732F4028"/>
    <w:rsid w:val="733A7226"/>
    <w:rsid w:val="737835C9"/>
    <w:rsid w:val="737B14AA"/>
    <w:rsid w:val="73B76749"/>
    <w:rsid w:val="73D62E1B"/>
    <w:rsid w:val="74200287"/>
    <w:rsid w:val="743D3AC4"/>
    <w:rsid w:val="74853143"/>
    <w:rsid w:val="74C3179F"/>
    <w:rsid w:val="74E505EC"/>
    <w:rsid w:val="75092E43"/>
    <w:rsid w:val="753167D2"/>
    <w:rsid w:val="753D44C3"/>
    <w:rsid w:val="7604030E"/>
    <w:rsid w:val="760C4012"/>
    <w:rsid w:val="762D781D"/>
    <w:rsid w:val="76361681"/>
    <w:rsid w:val="763C2CC8"/>
    <w:rsid w:val="764C2D07"/>
    <w:rsid w:val="767F1397"/>
    <w:rsid w:val="76AD25C4"/>
    <w:rsid w:val="76C07FA2"/>
    <w:rsid w:val="76DD7C0D"/>
    <w:rsid w:val="76F201ED"/>
    <w:rsid w:val="771F7450"/>
    <w:rsid w:val="77876C30"/>
    <w:rsid w:val="787A1664"/>
    <w:rsid w:val="78950EB0"/>
    <w:rsid w:val="789D6966"/>
    <w:rsid w:val="78B62999"/>
    <w:rsid w:val="78EF7455"/>
    <w:rsid w:val="79097921"/>
    <w:rsid w:val="790F22EA"/>
    <w:rsid w:val="79100C99"/>
    <w:rsid w:val="793054FA"/>
    <w:rsid w:val="794D71A0"/>
    <w:rsid w:val="795D2237"/>
    <w:rsid w:val="798C38F6"/>
    <w:rsid w:val="79933961"/>
    <w:rsid w:val="79D378EE"/>
    <w:rsid w:val="79EB2A7C"/>
    <w:rsid w:val="79FF6604"/>
    <w:rsid w:val="7A0E1F3A"/>
    <w:rsid w:val="7A4F4CB9"/>
    <w:rsid w:val="7A5B654D"/>
    <w:rsid w:val="7A5D459E"/>
    <w:rsid w:val="7ADC6A28"/>
    <w:rsid w:val="7AFE58B9"/>
    <w:rsid w:val="7B137022"/>
    <w:rsid w:val="7BB058BD"/>
    <w:rsid w:val="7BF662EE"/>
    <w:rsid w:val="7C066985"/>
    <w:rsid w:val="7C5963CB"/>
    <w:rsid w:val="7C896A55"/>
    <w:rsid w:val="7C9F7757"/>
    <w:rsid w:val="7CC0123A"/>
    <w:rsid w:val="7CDD594F"/>
    <w:rsid w:val="7D321750"/>
    <w:rsid w:val="7D7D4E70"/>
    <w:rsid w:val="7DFE5BED"/>
    <w:rsid w:val="7E6E50C8"/>
    <w:rsid w:val="7EAC0F0E"/>
    <w:rsid w:val="7ECB2594"/>
    <w:rsid w:val="7EFB421F"/>
    <w:rsid w:val="7F174C12"/>
    <w:rsid w:val="7F182693"/>
    <w:rsid w:val="7FD579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qFormat="1" w:unhideWhenUsed="0" w:uiPriority="0" w:semiHidden="0" w:name="List 3"/>
    <w:lsdException w:uiPriority="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textAlignment w:val="baseline"/>
    </w:pPr>
    <w:rPr>
      <w:rFonts w:ascii="Arial" w:hAnsi="Arial" w:eastAsia="MS Mincho" w:cs="Times New Roman"/>
      <w:lang w:val="en-GB" w:eastAsia="en-US" w:bidi="ar-SA"/>
    </w:rPr>
  </w:style>
  <w:style w:type="paragraph" w:styleId="2">
    <w:name w:val="heading 1"/>
    <w:next w:val="1"/>
    <w:link w:val="7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1"/>
    <w:next w:val="1"/>
    <w:link w:val="79"/>
    <w:qFormat/>
    <w:uiPriority w:val="0"/>
    <w:pPr>
      <w:keepNext/>
      <w:spacing w:before="120" w:after="180"/>
      <w:ind w:left="851" w:hanging="851"/>
      <w:outlineLvl w:val="1"/>
    </w:pPr>
    <w:rPr>
      <w:rFonts w:cs="Arial"/>
      <w:bCs/>
      <w:iCs/>
      <w:sz w:val="32"/>
      <w:szCs w:val="28"/>
    </w:rPr>
  </w:style>
  <w:style w:type="paragraph" w:styleId="4">
    <w:name w:val="heading 3"/>
    <w:basedOn w:val="1"/>
    <w:next w:val="1"/>
    <w:qFormat/>
    <w:uiPriority w:val="0"/>
    <w:pPr>
      <w:keepNext/>
      <w:spacing w:before="120" w:after="180"/>
      <w:ind w:left="1134" w:hanging="1134"/>
      <w:outlineLvl w:val="2"/>
    </w:pPr>
    <w:rPr>
      <w:rFonts w:cs="Arial"/>
      <w:bCs/>
      <w:sz w:val="28"/>
      <w:szCs w:val="26"/>
    </w:rPr>
  </w:style>
  <w:style w:type="paragraph" w:styleId="5">
    <w:name w:val="heading 4"/>
    <w:basedOn w:val="1"/>
    <w:next w:val="1"/>
    <w:qFormat/>
    <w:uiPriority w:val="0"/>
    <w:pPr>
      <w:keepNext/>
      <w:spacing w:before="120" w:after="180"/>
      <w:ind w:left="1418" w:hanging="1418"/>
      <w:outlineLvl w:val="3"/>
    </w:pPr>
    <w:rPr>
      <w:bCs/>
      <w:sz w:val="24"/>
      <w:szCs w:val="28"/>
    </w:rPr>
  </w:style>
  <w:style w:type="paragraph" w:styleId="6">
    <w:name w:val="heading 5"/>
    <w:basedOn w:val="1"/>
    <w:next w:val="1"/>
    <w:qFormat/>
    <w:uiPriority w:val="0"/>
    <w:pPr>
      <w:spacing w:before="120" w:after="180"/>
      <w:ind w:left="1701" w:hanging="1701"/>
      <w:outlineLvl w:val="4"/>
    </w:pPr>
    <w:rPr>
      <w:bCs/>
      <w:iCs/>
      <w:sz w:val="22"/>
      <w:szCs w:val="26"/>
    </w:rPr>
  </w:style>
  <w:style w:type="paragraph" w:styleId="7">
    <w:name w:val="heading 6"/>
    <w:basedOn w:val="1"/>
    <w:next w:val="1"/>
    <w:link w:val="41"/>
    <w:unhideWhenUsed/>
    <w:qFormat/>
    <w:uiPriority w:val="0"/>
    <w:pPr>
      <w:spacing w:before="120" w:after="180"/>
      <w:ind w:left="1985" w:hanging="1985"/>
      <w:outlineLvl w:val="5"/>
    </w:pPr>
  </w:style>
  <w:style w:type="character" w:default="1" w:styleId="24">
    <w:name w:val="Default Paragraph Font"/>
    <w:semiHidden/>
    <w:unhideWhenUsed/>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8">
    <w:name w:val="List 3"/>
    <w:basedOn w:val="1"/>
    <w:qFormat/>
    <w:uiPriority w:val="0"/>
    <w:pPr>
      <w:ind w:left="849" w:hanging="283"/>
    </w:pPr>
  </w:style>
  <w:style w:type="paragraph" w:styleId="9">
    <w:name w:val="Document Map"/>
    <w:basedOn w:val="1"/>
    <w:link w:val="70"/>
    <w:qFormat/>
    <w:uiPriority w:val="0"/>
    <w:rPr>
      <w:rFonts w:ascii="宋体" w:eastAsia="宋体"/>
      <w:sz w:val="18"/>
      <w:szCs w:val="18"/>
    </w:rPr>
  </w:style>
  <w:style w:type="paragraph" w:styleId="10">
    <w:name w:val="annotation text"/>
    <w:basedOn w:val="1"/>
    <w:link w:val="58"/>
    <w:qFormat/>
    <w:uiPriority w:val="0"/>
  </w:style>
  <w:style w:type="paragraph" w:styleId="11">
    <w:name w:val="Body Text"/>
    <w:basedOn w:val="1"/>
    <w:link w:val="47"/>
    <w:qFormat/>
    <w:uiPriority w:val="0"/>
    <w:pPr>
      <w:jc w:val="both"/>
    </w:pPr>
    <w:rPr>
      <w:rFonts w:eastAsia="等线"/>
      <w:lang w:eastAsia="zh-CN"/>
    </w:rPr>
  </w:style>
  <w:style w:type="paragraph" w:styleId="12">
    <w:name w:val="List 2"/>
    <w:basedOn w:val="1"/>
    <w:qFormat/>
    <w:uiPriority w:val="0"/>
    <w:pPr>
      <w:ind w:left="566" w:hanging="283"/>
    </w:pPr>
  </w:style>
  <w:style w:type="paragraph" w:styleId="13">
    <w:name w:val="Plain Text"/>
    <w:basedOn w:val="1"/>
    <w:link w:val="80"/>
    <w:unhideWhenUsed/>
    <w:qFormat/>
    <w:uiPriority w:val="99"/>
    <w:pPr>
      <w:overflowPunct/>
      <w:autoSpaceDE/>
      <w:autoSpaceDN/>
      <w:adjustRightInd/>
      <w:spacing w:after="0"/>
      <w:textAlignment w:val="auto"/>
    </w:pPr>
    <w:rPr>
      <w:rFonts w:ascii="Calibri" w:hAnsi="Calibri" w:eastAsia="Calibri"/>
      <w:sz w:val="22"/>
      <w:szCs w:val="21"/>
    </w:rPr>
  </w:style>
  <w:style w:type="paragraph" w:styleId="14">
    <w:name w:val="Balloon Text"/>
    <w:basedOn w:val="1"/>
    <w:link w:val="57"/>
    <w:qFormat/>
    <w:uiPriority w:val="0"/>
    <w:pPr>
      <w:spacing w:after="0"/>
    </w:pPr>
    <w:rPr>
      <w:sz w:val="18"/>
      <w:szCs w:val="18"/>
    </w:rPr>
  </w:style>
  <w:style w:type="paragraph" w:styleId="15">
    <w:name w:val="footer"/>
    <w:basedOn w:val="1"/>
    <w:qFormat/>
    <w:uiPriority w:val="0"/>
    <w:pPr>
      <w:tabs>
        <w:tab w:val="center" w:pos="4320"/>
        <w:tab w:val="right" w:pos="8640"/>
      </w:tabs>
    </w:pPr>
  </w:style>
  <w:style w:type="paragraph" w:styleId="16">
    <w:name w:val="header"/>
    <w:link w:val="73"/>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17">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等线" w:cs="Times New Roman"/>
      <w:b/>
      <w:szCs w:val="22"/>
      <w:lang w:val="en-US" w:eastAsia="zh-CN" w:bidi="ar-SA"/>
    </w:rPr>
  </w:style>
  <w:style w:type="paragraph" w:styleId="18">
    <w:name w:val="List"/>
    <w:basedOn w:val="1"/>
    <w:qFormat/>
    <w:uiPriority w:val="0"/>
    <w:pPr>
      <w:ind w:left="283" w:hanging="283"/>
    </w:pPr>
  </w:style>
  <w:style w:type="paragraph" w:styleId="19">
    <w:name w:val="List 5"/>
    <w:basedOn w:val="1"/>
    <w:qFormat/>
    <w:uiPriority w:val="0"/>
    <w:pPr>
      <w:ind w:left="1415" w:hanging="283"/>
    </w:pPr>
  </w:style>
  <w:style w:type="paragraph" w:styleId="20">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21">
    <w:name w:val="annotation subject"/>
    <w:basedOn w:val="10"/>
    <w:next w:val="10"/>
    <w:link w:val="59"/>
    <w:qFormat/>
    <w:uiPriority w:val="0"/>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bCs/>
    </w:rPr>
  </w:style>
  <w:style w:type="character" w:styleId="26">
    <w:name w:val="page number"/>
    <w:basedOn w:val="24"/>
    <w:qFormat/>
    <w:uiPriority w:val="0"/>
  </w:style>
  <w:style w:type="character" w:styleId="27">
    <w:name w:val="Hyperlink"/>
    <w:unhideWhenUsed/>
    <w:qFormat/>
    <w:uiPriority w:val="99"/>
    <w:rPr>
      <w:color w:val="464E90"/>
      <w:u w:val="none"/>
    </w:rPr>
  </w:style>
  <w:style w:type="character" w:styleId="28">
    <w:name w:val="annotation reference"/>
    <w:qFormat/>
    <w:uiPriority w:val="0"/>
    <w:rPr>
      <w:sz w:val="21"/>
      <w:szCs w:val="21"/>
    </w:rPr>
  </w:style>
  <w:style w:type="paragraph" w:customStyle="1" w:styleId="29">
    <w:name w:val="CR Cover Page"/>
    <w:link w:val="74"/>
    <w:qFormat/>
    <w:uiPriority w:val="0"/>
    <w:pPr>
      <w:spacing w:after="120"/>
    </w:pPr>
    <w:rPr>
      <w:rFonts w:ascii="Arial" w:hAnsi="Arial" w:eastAsia="MS Mincho" w:cs="Times New Roman"/>
      <w:lang w:val="en-GB" w:eastAsia="en-US" w:bidi="ar-SA"/>
    </w:rPr>
  </w:style>
  <w:style w:type="paragraph" w:customStyle="1" w:styleId="30">
    <w:name w:val="B1"/>
    <w:basedOn w:val="18"/>
    <w:link w:val="34"/>
    <w:qFormat/>
    <w:uiPriority w:val="0"/>
    <w:pPr>
      <w:spacing w:after="180"/>
      <w:ind w:left="568" w:hanging="284"/>
    </w:pPr>
    <w:rPr>
      <w:rFonts w:ascii="Times New Roman" w:hAnsi="Times New Roman"/>
    </w:rPr>
  </w:style>
  <w:style w:type="paragraph" w:customStyle="1" w:styleId="31">
    <w:name w:val="B2"/>
    <w:basedOn w:val="12"/>
    <w:qFormat/>
    <w:uiPriority w:val="0"/>
    <w:pPr>
      <w:spacing w:after="180"/>
      <w:ind w:left="851" w:hanging="284"/>
    </w:pPr>
  </w:style>
  <w:style w:type="paragraph" w:customStyle="1" w:styleId="32">
    <w:name w:val="B3"/>
    <w:basedOn w:val="8"/>
    <w:qFormat/>
    <w:uiPriority w:val="0"/>
    <w:pPr>
      <w:spacing w:after="180"/>
      <w:ind w:left="1135" w:hanging="284"/>
    </w:pPr>
  </w:style>
  <w:style w:type="paragraph" w:customStyle="1" w:styleId="33">
    <w:name w:val="B5"/>
    <w:basedOn w:val="19"/>
    <w:qFormat/>
    <w:uiPriority w:val="0"/>
    <w:pPr>
      <w:spacing w:after="180"/>
      <w:ind w:left="1702" w:hanging="284"/>
    </w:pPr>
  </w:style>
  <w:style w:type="character" w:customStyle="1" w:styleId="34">
    <w:name w:val="B1 Char1"/>
    <w:link w:val="30"/>
    <w:qFormat/>
    <w:uiPriority w:val="0"/>
    <w:rPr>
      <w:rFonts w:eastAsia="MS Mincho"/>
      <w:lang w:val="en-GB" w:eastAsia="en-US" w:bidi="ar-SA"/>
    </w:rPr>
  </w:style>
  <w:style w:type="paragraph" w:customStyle="1" w:styleId="35">
    <w:name w:val="B0"/>
    <w:basedOn w:val="30"/>
    <w:qFormat/>
    <w:uiPriority w:val="0"/>
    <w:pPr>
      <w:ind w:left="284"/>
    </w:pPr>
    <w:rPr>
      <w:lang w:eastAsia="ja-JP"/>
    </w:rPr>
  </w:style>
  <w:style w:type="paragraph" w:customStyle="1" w:styleId="36">
    <w:name w:val="NO"/>
    <w:basedOn w:val="1"/>
    <w:qFormat/>
    <w:uiPriority w:val="0"/>
    <w:pPr>
      <w:keepLines/>
      <w:spacing w:after="180"/>
      <w:ind w:left="1135" w:hanging="851"/>
    </w:pPr>
  </w:style>
  <w:style w:type="paragraph" w:customStyle="1" w:styleId="37">
    <w:name w:val="TF"/>
    <w:basedOn w:val="38"/>
    <w:link w:val="56"/>
    <w:qFormat/>
    <w:uiPriority w:val="0"/>
    <w:pPr>
      <w:keepNext w:val="0"/>
      <w:spacing w:before="0" w:after="240"/>
    </w:pPr>
  </w:style>
  <w:style w:type="paragraph" w:customStyle="1" w:styleId="38">
    <w:name w:val="TH"/>
    <w:basedOn w:val="1"/>
    <w:link w:val="61"/>
    <w:qFormat/>
    <w:uiPriority w:val="0"/>
    <w:pPr>
      <w:keepNext/>
      <w:keepLines/>
      <w:spacing w:before="60" w:after="180"/>
      <w:jc w:val="center"/>
    </w:pPr>
    <w:rPr>
      <w:b/>
    </w:rPr>
  </w:style>
  <w:style w:type="paragraph" w:customStyle="1" w:styleId="39">
    <w:name w:val="Reference"/>
    <w:basedOn w:val="1"/>
    <w:qFormat/>
    <w:uiPriority w:val="0"/>
    <w:pPr>
      <w:ind w:left="709" w:hanging="709"/>
    </w:pPr>
    <w:rPr>
      <w:lang w:eastAsia="ja-JP"/>
    </w:rPr>
  </w:style>
  <w:style w:type="paragraph" w:customStyle="1" w:styleId="40">
    <w:name w:val="Quotation"/>
    <w:basedOn w:val="39"/>
    <w:qFormat/>
    <w:uiPriority w:val="0"/>
    <w:pPr>
      <w:ind w:left="567" w:firstLine="0"/>
    </w:pPr>
    <w:rPr>
      <w:rFonts w:ascii="Times New Roman" w:hAnsi="Times New Roman"/>
      <w:color w:val="0070C0"/>
    </w:rPr>
  </w:style>
  <w:style w:type="character" w:customStyle="1" w:styleId="41">
    <w:name w:val="标题 6 字符"/>
    <w:link w:val="7"/>
    <w:qFormat/>
    <w:uiPriority w:val="0"/>
    <w:rPr>
      <w:rFonts w:ascii="Arial" w:hAnsi="Arial" w:eastAsia="MS Mincho"/>
      <w:lang w:eastAsia="en-US"/>
    </w:rPr>
  </w:style>
  <w:style w:type="paragraph" w:customStyle="1" w:styleId="42">
    <w:name w:val="Head 6"/>
    <w:basedOn w:val="1"/>
    <w:next w:val="1"/>
    <w:qFormat/>
    <w:uiPriority w:val="0"/>
    <w:pPr>
      <w:spacing w:before="120" w:after="180"/>
      <w:ind w:left="1985" w:hanging="1985"/>
    </w:pPr>
    <w:rPr>
      <w:rFonts w:eastAsia="Times New Roman"/>
    </w:rPr>
  </w:style>
  <w:style w:type="paragraph" w:customStyle="1" w:styleId="43">
    <w:name w:val="Proposal"/>
    <w:basedOn w:val="11"/>
    <w:qFormat/>
    <w:uiPriority w:val="0"/>
    <w:pPr>
      <w:numPr>
        <w:ilvl w:val="0"/>
        <w:numId w:val="1"/>
      </w:numPr>
      <w:tabs>
        <w:tab w:val="left" w:pos="1701"/>
        <w:tab w:val="clear" w:pos="1304"/>
      </w:tabs>
      <w:ind w:left="1701" w:hanging="1701"/>
    </w:pPr>
    <w:rPr>
      <w:rFonts w:eastAsia="Times New Roman"/>
      <w:b/>
      <w:bCs/>
    </w:rPr>
  </w:style>
  <w:style w:type="paragraph" w:customStyle="1" w:styleId="44">
    <w:name w:val="Observation"/>
    <w:basedOn w:val="43"/>
    <w:qFormat/>
    <w:uiPriority w:val="0"/>
    <w:pPr>
      <w:numPr>
        <w:ilvl w:val="0"/>
        <w:numId w:val="2"/>
      </w:numPr>
      <w:ind w:left="1701" w:hanging="1701"/>
    </w:pPr>
  </w:style>
  <w:style w:type="paragraph" w:customStyle="1" w:styleId="45">
    <w:name w:val="Editor's Note"/>
    <w:basedOn w:val="36"/>
    <w:link w:val="46"/>
    <w:qFormat/>
    <w:uiPriority w:val="0"/>
    <w:pPr>
      <w:overflowPunct/>
      <w:autoSpaceDE/>
      <w:autoSpaceDN/>
      <w:adjustRightInd/>
      <w:textAlignment w:val="auto"/>
    </w:pPr>
    <w:rPr>
      <w:rFonts w:ascii="Times New Roman" w:hAnsi="Times New Roman"/>
      <w:color w:val="FF0000"/>
    </w:rPr>
  </w:style>
  <w:style w:type="character" w:customStyle="1" w:styleId="46">
    <w:name w:val="Editor's Note Char"/>
    <w:link w:val="45"/>
    <w:qFormat/>
    <w:uiPriority w:val="0"/>
    <w:rPr>
      <w:rFonts w:eastAsia="MS Mincho"/>
      <w:color w:val="FF0000"/>
      <w:lang w:eastAsia="en-US"/>
    </w:rPr>
  </w:style>
  <w:style w:type="character" w:customStyle="1" w:styleId="47">
    <w:name w:val="正文文本 字符"/>
    <w:link w:val="11"/>
    <w:qFormat/>
    <w:uiPriority w:val="0"/>
    <w:rPr>
      <w:rFonts w:ascii="Arial" w:hAnsi="Arial"/>
      <w:lang w:eastAsia="zh-CN"/>
    </w:rPr>
  </w:style>
  <w:style w:type="paragraph" w:customStyle="1" w:styleId="48">
    <w:name w:val="TAH"/>
    <w:basedOn w:val="49"/>
    <w:link w:val="53"/>
    <w:qFormat/>
    <w:uiPriority w:val="0"/>
    <w:rPr>
      <w:b/>
    </w:rPr>
  </w:style>
  <w:style w:type="paragraph" w:customStyle="1" w:styleId="49">
    <w:name w:val="TAC"/>
    <w:basedOn w:val="50"/>
    <w:link w:val="52"/>
    <w:qFormat/>
    <w:uiPriority w:val="0"/>
    <w:pPr>
      <w:jc w:val="center"/>
    </w:pPr>
  </w:style>
  <w:style w:type="paragraph" w:customStyle="1" w:styleId="50">
    <w:name w:val="TAL"/>
    <w:basedOn w:val="1"/>
    <w:link w:val="51"/>
    <w:qFormat/>
    <w:uiPriority w:val="0"/>
    <w:pPr>
      <w:keepNext/>
      <w:keepLines/>
      <w:overflowPunct/>
      <w:autoSpaceDE/>
      <w:autoSpaceDN/>
      <w:adjustRightInd/>
      <w:spacing w:after="0"/>
      <w:textAlignment w:val="auto"/>
    </w:pPr>
    <w:rPr>
      <w:rFonts w:eastAsia="等线"/>
      <w:sz w:val="18"/>
    </w:rPr>
  </w:style>
  <w:style w:type="character" w:customStyle="1" w:styleId="51">
    <w:name w:val="TAL Char"/>
    <w:link w:val="50"/>
    <w:qFormat/>
    <w:uiPriority w:val="0"/>
    <w:rPr>
      <w:rFonts w:ascii="Arial" w:hAnsi="Arial"/>
      <w:sz w:val="18"/>
      <w:lang w:eastAsia="en-US"/>
    </w:rPr>
  </w:style>
  <w:style w:type="character" w:customStyle="1" w:styleId="52">
    <w:name w:val="TAC Char"/>
    <w:link w:val="49"/>
    <w:qFormat/>
    <w:uiPriority w:val="0"/>
  </w:style>
  <w:style w:type="character" w:customStyle="1" w:styleId="53">
    <w:name w:val="TAH Char"/>
    <w:link w:val="48"/>
    <w:qFormat/>
    <w:uiPriority w:val="0"/>
    <w:rPr>
      <w:rFonts w:ascii="Arial" w:hAnsi="Arial"/>
      <w:b/>
      <w:sz w:val="18"/>
      <w:lang w:eastAsia="en-US"/>
    </w:rPr>
  </w:style>
  <w:style w:type="paragraph" w:customStyle="1" w:styleId="54">
    <w:name w:val="B4"/>
    <w:basedOn w:val="32"/>
    <w:qFormat/>
    <w:uiPriority w:val="0"/>
    <w:pPr>
      <w:ind w:left="1418"/>
    </w:pPr>
  </w:style>
  <w:style w:type="character" w:customStyle="1" w:styleId="55">
    <w:name w:val="B1 Char"/>
    <w:qFormat/>
    <w:uiPriority w:val="0"/>
    <w:rPr>
      <w:rFonts w:eastAsia="Times New Roman"/>
    </w:rPr>
  </w:style>
  <w:style w:type="character" w:customStyle="1" w:styleId="56">
    <w:name w:val="TF Zchn"/>
    <w:link w:val="37"/>
    <w:qFormat/>
    <w:uiPriority w:val="0"/>
    <w:rPr>
      <w:rFonts w:ascii="Arial" w:hAnsi="Arial" w:eastAsia="MS Mincho"/>
      <w:b/>
      <w:lang w:val="en-GB" w:eastAsia="en-US"/>
    </w:rPr>
  </w:style>
  <w:style w:type="character" w:customStyle="1" w:styleId="57">
    <w:name w:val="批注框文本 字符"/>
    <w:link w:val="14"/>
    <w:qFormat/>
    <w:uiPriority w:val="0"/>
    <w:rPr>
      <w:rFonts w:ascii="Arial" w:hAnsi="Arial" w:eastAsia="MS Mincho"/>
      <w:sz w:val="18"/>
      <w:szCs w:val="18"/>
      <w:lang w:val="en-GB" w:eastAsia="en-US"/>
    </w:rPr>
  </w:style>
  <w:style w:type="character" w:customStyle="1" w:styleId="58">
    <w:name w:val="批注文字 字符"/>
    <w:link w:val="10"/>
    <w:qFormat/>
    <w:uiPriority w:val="0"/>
    <w:rPr>
      <w:rFonts w:ascii="Arial" w:hAnsi="Arial" w:eastAsia="MS Mincho"/>
      <w:lang w:val="en-GB" w:eastAsia="en-US"/>
    </w:rPr>
  </w:style>
  <w:style w:type="character" w:customStyle="1" w:styleId="59">
    <w:name w:val="批注主题 字符"/>
    <w:link w:val="21"/>
    <w:qFormat/>
    <w:uiPriority w:val="0"/>
    <w:rPr>
      <w:rFonts w:ascii="Arial" w:hAnsi="Arial" w:eastAsia="MS Mincho"/>
      <w:b/>
      <w:bCs/>
      <w:lang w:val="en-GB" w:eastAsia="en-US"/>
    </w:rPr>
  </w:style>
  <w:style w:type="paragraph" w:customStyle="1" w:styleId="60">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character" w:customStyle="1" w:styleId="61">
    <w:name w:val="TH Char"/>
    <w:link w:val="38"/>
    <w:qFormat/>
    <w:uiPriority w:val="0"/>
    <w:rPr>
      <w:rFonts w:ascii="Arial" w:hAnsi="Arial" w:eastAsia="MS Mincho"/>
      <w:b/>
      <w:lang w:val="en-GB" w:eastAsia="en-US"/>
    </w:rPr>
  </w:style>
  <w:style w:type="paragraph" w:customStyle="1" w:styleId="6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ind w:left="720" w:hanging="720"/>
      <w:textAlignment w:val="auto"/>
    </w:pPr>
    <w:rPr>
      <w:rFonts w:ascii="Times New Roman" w:hAnsi="Times New Roman" w:eastAsia="Batang"/>
      <w:bCs/>
      <w:i/>
      <w:sz w:val="22"/>
      <w:lang w:eastAsia="ko-KR"/>
    </w:rPr>
  </w:style>
  <w:style w:type="paragraph" w:styleId="63">
    <w:name w:val="List Paragraph"/>
    <w:basedOn w:val="1"/>
    <w:link w:val="77"/>
    <w:qFormat/>
    <w:uiPriority w:val="34"/>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64">
    <w:name w:val="PL Char"/>
    <w:link w:val="65"/>
    <w:qFormat/>
    <w:locked/>
    <w:uiPriority w:val="0"/>
    <w:rPr>
      <w:rFonts w:ascii="Courier New" w:hAnsi="Courier New" w:cs="Courier New"/>
      <w:sz w:val="16"/>
      <w:lang w:val="en-GB" w:eastAsia="en-US" w:bidi="ar-SA"/>
    </w:rPr>
  </w:style>
  <w:style w:type="paragraph" w:customStyle="1" w:styleId="65">
    <w:name w:val="PL"/>
    <w:link w:val="6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Courier New"/>
      <w:sz w:val="16"/>
      <w:lang w:val="en-GB" w:eastAsia="en-US" w:bidi="ar-SA"/>
    </w:rPr>
  </w:style>
  <w:style w:type="paragraph" w:customStyle="1" w:styleId="66">
    <w:name w:val="NW"/>
    <w:basedOn w:val="36"/>
    <w:qFormat/>
    <w:uiPriority w:val="0"/>
    <w:pPr>
      <w:overflowPunct/>
      <w:autoSpaceDE/>
      <w:autoSpaceDN/>
      <w:adjustRightInd/>
      <w:spacing w:after="0"/>
      <w:textAlignment w:val="auto"/>
    </w:pPr>
    <w:rPr>
      <w:rFonts w:ascii="Times New Roman" w:hAnsi="Times New Roman" w:eastAsia="宋体"/>
    </w:rPr>
  </w:style>
  <w:style w:type="paragraph" w:customStyle="1" w:styleId="67">
    <w:name w:val="TAL + Left:  1"/>
    <w:basedOn w:val="50"/>
    <w:link w:val="68"/>
    <w:qFormat/>
    <w:uiPriority w:val="0"/>
    <w:pPr>
      <w:overflowPunct w:val="0"/>
      <w:autoSpaceDE w:val="0"/>
      <w:autoSpaceDN w:val="0"/>
      <w:adjustRightInd w:val="0"/>
      <w:ind w:left="567"/>
      <w:textAlignment w:val="baseline"/>
    </w:pPr>
    <w:rPr>
      <w:rFonts w:eastAsia="宋体"/>
      <w:szCs w:val="18"/>
      <w:lang w:eastAsia="en-GB"/>
    </w:rPr>
  </w:style>
  <w:style w:type="character" w:customStyle="1" w:styleId="68">
    <w:name w:val="TAL + Left:  1.00 cm Char Char"/>
    <w:link w:val="67"/>
    <w:qFormat/>
    <w:uiPriority w:val="0"/>
    <w:rPr>
      <w:rFonts w:ascii="Arial" w:hAnsi="Arial" w:eastAsia="宋体" w:cs="Arial"/>
      <w:sz w:val="18"/>
      <w:szCs w:val="18"/>
      <w:lang w:val="en-GB" w:eastAsia="en-GB"/>
    </w:rPr>
  </w:style>
  <w:style w:type="paragraph" w:customStyle="1" w:styleId="69">
    <w:name w:val="TAL + Left: 125 cm"/>
    <w:basedOn w:val="1"/>
    <w:qFormat/>
    <w:uiPriority w:val="0"/>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70">
    <w:name w:val="文档结构图 字符"/>
    <w:basedOn w:val="24"/>
    <w:link w:val="9"/>
    <w:qFormat/>
    <w:uiPriority w:val="0"/>
    <w:rPr>
      <w:rFonts w:ascii="宋体" w:hAnsi="Arial" w:eastAsia="宋体"/>
      <w:sz w:val="18"/>
      <w:szCs w:val="18"/>
      <w:lang w:val="en-GB" w:eastAsia="en-US"/>
    </w:rPr>
  </w:style>
  <w:style w:type="paragraph" w:customStyle="1" w:styleId="71">
    <w:name w:val="EX"/>
    <w:basedOn w:val="1"/>
    <w:qFormat/>
    <w:uiPriority w:val="0"/>
    <w:pPr>
      <w:keepLines/>
      <w:overflowPunct/>
      <w:autoSpaceDE/>
      <w:autoSpaceDN/>
      <w:adjustRightInd/>
      <w:spacing w:after="180"/>
      <w:ind w:left="1702" w:hanging="1418"/>
      <w:textAlignment w:val="auto"/>
    </w:pPr>
    <w:rPr>
      <w:rFonts w:ascii="Times New Roman" w:hAnsi="Times New Roman" w:eastAsia="宋体"/>
    </w:rPr>
  </w:style>
  <w:style w:type="character" w:customStyle="1" w:styleId="72">
    <w:name w:val="apple-converted-space"/>
    <w:basedOn w:val="24"/>
    <w:qFormat/>
    <w:uiPriority w:val="0"/>
  </w:style>
  <w:style w:type="character" w:customStyle="1" w:styleId="73">
    <w:name w:val="页眉 字符"/>
    <w:basedOn w:val="24"/>
    <w:link w:val="16"/>
    <w:qFormat/>
    <w:uiPriority w:val="0"/>
    <w:rPr>
      <w:rFonts w:ascii="Arial" w:hAnsi="Arial" w:eastAsia="MS Mincho"/>
      <w:b/>
      <w:sz w:val="18"/>
      <w:lang w:val="en-US" w:eastAsia="en-US" w:bidi="ar-SA"/>
    </w:rPr>
  </w:style>
  <w:style w:type="character" w:customStyle="1" w:styleId="74">
    <w:name w:val="CR Cover Page Zchn"/>
    <w:link w:val="29"/>
    <w:qFormat/>
    <w:locked/>
    <w:uiPriority w:val="0"/>
    <w:rPr>
      <w:rFonts w:ascii="Arial" w:hAnsi="Arial" w:eastAsia="MS Mincho"/>
      <w:lang w:val="en-GB" w:eastAsia="en-US" w:bidi="ar-SA"/>
    </w:rPr>
  </w:style>
  <w:style w:type="paragraph" w:customStyle="1" w:styleId="75">
    <w:name w:val="main text"/>
    <w:basedOn w:val="1"/>
    <w:link w:val="76"/>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76">
    <w:name w:val="main text Char"/>
    <w:link w:val="75"/>
    <w:qFormat/>
    <w:uiPriority w:val="0"/>
    <w:rPr>
      <w:rFonts w:ascii="Calibri" w:hAnsi="Calibri" w:eastAsia="Malgun Gothic" w:cs="Batang"/>
      <w:lang w:val="en-GB" w:eastAsia="ko-KR"/>
    </w:rPr>
  </w:style>
  <w:style w:type="character" w:customStyle="1" w:styleId="77">
    <w:name w:val="列出段落 字符"/>
    <w:link w:val="63"/>
    <w:qFormat/>
    <w:uiPriority w:val="34"/>
    <w:rPr>
      <w:rFonts w:ascii="宋体" w:hAnsi="宋体" w:eastAsia="宋体" w:cs="宋体"/>
      <w:sz w:val="24"/>
      <w:szCs w:val="24"/>
    </w:rPr>
  </w:style>
  <w:style w:type="character" w:customStyle="1" w:styleId="78">
    <w:name w:val="标题 1 字符"/>
    <w:basedOn w:val="24"/>
    <w:link w:val="2"/>
    <w:qFormat/>
    <w:uiPriority w:val="0"/>
    <w:rPr>
      <w:rFonts w:ascii="Arial" w:hAnsi="Arial" w:eastAsia="MS Mincho"/>
      <w:sz w:val="36"/>
      <w:lang w:val="en-GB" w:eastAsia="en-US"/>
    </w:rPr>
  </w:style>
  <w:style w:type="character" w:customStyle="1" w:styleId="79">
    <w:name w:val="标题 2 字符"/>
    <w:basedOn w:val="24"/>
    <w:link w:val="3"/>
    <w:qFormat/>
    <w:uiPriority w:val="0"/>
    <w:rPr>
      <w:rFonts w:ascii="Arial" w:hAnsi="Arial" w:eastAsia="MS Mincho" w:cs="Arial"/>
      <w:bCs/>
      <w:iCs/>
      <w:sz w:val="32"/>
      <w:szCs w:val="28"/>
      <w:lang w:val="en-GB" w:eastAsia="en-US"/>
    </w:rPr>
  </w:style>
  <w:style w:type="character" w:customStyle="1" w:styleId="80">
    <w:name w:val="纯文本 字符"/>
    <w:basedOn w:val="24"/>
    <w:link w:val="13"/>
    <w:qFormat/>
    <w:uiPriority w:val="99"/>
    <w:rPr>
      <w:rFonts w:ascii="Calibri" w:hAnsi="Calibri" w:eastAsia="Calibri"/>
      <w:sz w:val="22"/>
      <w:szCs w:val="21"/>
      <w:lang w:val="en-GB" w:eastAsia="en-US"/>
    </w:rPr>
  </w:style>
  <w:style w:type="character" w:customStyle="1" w:styleId="81">
    <w:name w:val="B1 Zchn"/>
    <w:qFormat/>
    <w:uiPriority w:val="0"/>
    <w:rPr>
      <w:rFonts w:eastAsia="Times New Roman"/>
    </w:rPr>
  </w:style>
  <w:style w:type="paragraph" w:customStyle="1" w:styleId="82">
    <w:name w:val="00 BodyText"/>
    <w:basedOn w:val="1"/>
    <w:qFormat/>
    <w:uiPriority w:val="0"/>
    <w:pPr>
      <w:overflowPunct/>
      <w:autoSpaceDE/>
      <w:autoSpaceDN/>
      <w:adjustRightInd/>
      <w:spacing w:after="220" w:line="259" w:lineRule="auto"/>
      <w:textAlignment w:val="auto"/>
    </w:pPr>
    <w:rPr>
      <w:rFonts w:eastAsiaTheme="minorEastAsia"/>
      <w:sz w:val="22"/>
      <w:lang w:val="en-US"/>
    </w:rPr>
  </w:style>
  <w:style w:type="paragraph" w:customStyle="1" w:styleId="83">
    <w:name w:val="B6"/>
    <w:link w:val="84"/>
    <w:qFormat/>
    <w:uiPriority w:val="0"/>
    <w:pPr>
      <w:overflowPunct w:val="0"/>
      <w:autoSpaceDE w:val="0"/>
      <w:autoSpaceDN w:val="0"/>
      <w:adjustRightInd w:val="0"/>
      <w:spacing w:after="180"/>
      <w:ind w:left="1985" w:hanging="284"/>
    </w:pPr>
    <w:rPr>
      <w:rFonts w:ascii="Times New Roman" w:hAnsi="Times New Roman" w:eastAsia="Times New Roman" w:cs="Times New Roman"/>
      <w:lang w:val="en-US" w:eastAsia="zh-CN" w:bidi="ar-SA"/>
    </w:rPr>
  </w:style>
  <w:style w:type="character" w:customStyle="1" w:styleId="84">
    <w:name w:val="B6 Char"/>
    <w:basedOn w:val="24"/>
    <w:link w:val="83"/>
    <w:qFormat/>
    <w:uiPriority w:val="0"/>
    <w:rPr>
      <w:rFonts w:hint="default" w:ascii="Times New Roman" w:hAnsi="Times New Roman" w:eastAsia="Times New Roman" w:cs="Times New Roman"/>
    </w:rPr>
  </w:style>
  <w:style w:type="character" w:customStyle="1" w:styleId="85">
    <w:name w:val="B4 Char"/>
    <w:basedOn w:val="24"/>
    <w:qFormat/>
    <w:uiPriority w:val="0"/>
    <w:rPr>
      <w:rFonts w:hint="default" w:ascii="Times New Roman" w:hAnsi="Times New Roman" w:eastAsia="Times New Roman" w:cs="Times New Roman"/>
    </w:rPr>
  </w:style>
  <w:style w:type="character" w:customStyle="1" w:styleId="86">
    <w:name w:val="B2 Char"/>
    <w:basedOn w:val="24"/>
    <w:qFormat/>
    <w:uiPriority w:val="0"/>
    <w:rPr>
      <w:rFonts w:hint="default" w:ascii="Times New Roman" w:hAnsi="Times New Roman" w:eastAsia="Times New Roman" w:cs="Times New Roman"/>
    </w:rPr>
  </w:style>
  <w:style w:type="character" w:customStyle="1" w:styleId="87">
    <w:name w:val="B5 Char"/>
    <w:basedOn w:val="24"/>
    <w:qFormat/>
    <w:uiPriority w:val="0"/>
    <w:rPr>
      <w:rFonts w:hint="default" w:ascii="Times New Roman" w:hAnsi="Times New Roman" w:eastAsia="Times New Roman" w:cs="Times New Roman"/>
    </w:rPr>
  </w:style>
  <w:style w:type="character" w:customStyle="1" w:styleId="88">
    <w:name w:val="B3 Char"/>
    <w:basedOn w:val="24"/>
    <w:qFormat/>
    <w:uiPriority w:val="0"/>
    <w:rPr>
      <w:rFonts w:hint="default" w:ascii="Times New Roman" w:hAnsi="Times New Roman" w:eastAsia="Times New Roman" w:cs="Times New Roman"/>
    </w:rPr>
  </w:style>
  <w:style w:type="paragraph" w:customStyle="1" w:styleId="89">
    <w:name w:val="修订1"/>
    <w:hidden/>
    <w:semiHidden/>
    <w:qFormat/>
    <w:uiPriority w:val="99"/>
    <w:rPr>
      <w:rFonts w:ascii="Arial" w:hAnsi="Arial" w:eastAsia="MS Mincho" w:cs="Times New Roman"/>
      <w:lang w:val="en-GB" w:eastAsia="en-US" w:bidi="ar-SA"/>
    </w:rPr>
  </w:style>
  <w:style w:type="paragraph" w:customStyle="1" w:styleId="90">
    <w:name w:val="Doc-text2"/>
    <w:basedOn w:val="1"/>
    <w:qFormat/>
    <w:uiPriority w:val="0"/>
    <w:pPr>
      <w:tabs>
        <w:tab w:val="left" w:pos="1622"/>
      </w:tabs>
      <w:ind w:left="1622" w:hanging="363"/>
    </w:pPr>
  </w:style>
  <w:style w:type="paragraph" w:customStyle="1" w:styleId="91">
    <w:name w:val="修订2"/>
    <w:hidden/>
    <w:semiHidden/>
    <w:qFormat/>
    <w:uiPriority w:val="99"/>
    <w:rPr>
      <w:rFonts w:ascii="Arial" w:hAnsi="Arial" w:eastAsia="MS Mincho" w:cs="Times New Roman"/>
      <w:lang w:val="en-GB"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Liuliang</Company>
  <Pages>3</Pages>
  <Words>930</Words>
  <Characters>5303</Characters>
  <Lines>44</Lines>
  <Paragraphs>12</Paragraphs>
  <TotalTime>2</TotalTime>
  <ScaleCrop>false</ScaleCrop>
  <LinksUpToDate>false</LinksUpToDate>
  <CharactersWithSpaces>6221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2022-11-04T05:02:00Z</dcterms:created>
  <dc:creator>CMCC</dc:creator>
  <cp:lastModifiedBy>cmcc</cp:lastModifiedBy>
  <dcterms:modified xsi:type="dcterms:W3CDTF">2023-11-03T06:40:27Z</dcterms:modified>
  <dc:title>3GPP TSG-RAN WG3 Meeting #96bis NR Adhoc</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996BF4D58C284B1BAF1F3F002C2D6F73</vt:lpwstr>
  </property>
</Properties>
</file>